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6FDA" w14:textId="77777777" w:rsidR="006C3D62" w:rsidRDefault="006C3D62">
      <w:pPr>
        <w:tabs>
          <w:tab w:val="left" w:pos="6096"/>
        </w:tabs>
        <w:jc w:val="center"/>
        <w:rPr>
          <w:rFonts w:ascii="Trebuchet MS" w:hAnsi="Trebuchet MS" w:cs="Arial"/>
          <w:b/>
          <w:lang w:val="ro-RO"/>
        </w:rPr>
      </w:pPr>
    </w:p>
    <w:p w14:paraId="5F246F25" w14:textId="095119FB" w:rsidR="00B70275" w:rsidRPr="007E3619" w:rsidRDefault="00AF7238">
      <w:pPr>
        <w:tabs>
          <w:tab w:val="left" w:pos="6096"/>
        </w:tabs>
        <w:jc w:val="center"/>
        <w:rPr>
          <w:b/>
          <w:lang w:val="ro-RO"/>
        </w:rPr>
      </w:pPr>
      <w:r w:rsidRPr="007E3619">
        <w:rPr>
          <w:b/>
          <w:lang w:val="ro-RO"/>
        </w:rPr>
        <w:t>NOTĂ DE  FUNDAMENTARE</w:t>
      </w:r>
    </w:p>
    <w:p w14:paraId="13C8BFB4" w14:textId="77777777" w:rsidR="00B70275" w:rsidRPr="007E3619" w:rsidRDefault="00B70275">
      <w:pPr>
        <w:jc w:val="center"/>
        <w:rPr>
          <w:b/>
          <w:lang w:val="ro-RO"/>
        </w:rPr>
      </w:pPr>
    </w:p>
    <w:p w14:paraId="37D3E594" w14:textId="15BDDC1A" w:rsidR="006C3D62" w:rsidRPr="007E3619" w:rsidRDefault="00AF7238" w:rsidP="007E3619">
      <w:pPr>
        <w:jc w:val="center"/>
        <w:rPr>
          <w:b/>
          <w:lang w:val="ro-RO"/>
        </w:rPr>
      </w:pPr>
      <w:r w:rsidRPr="007E3619">
        <w:rPr>
          <w:b/>
          <w:lang w:val="ro-RO"/>
        </w:rPr>
        <w:t>1. Titlul proiectului de act normativ</w:t>
      </w:r>
    </w:p>
    <w:p w14:paraId="2FB1817A" w14:textId="77777777" w:rsidR="007E3619" w:rsidRPr="007E3619" w:rsidRDefault="007E3619" w:rsidP="007E3619">
      <w:pPr>
        <w:jc w:val="center"/>
        <w:rPr>
          <w:b/>
          <w:lang w:val="ro-RO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B70275" w:rsidRPr="007E3619" w14:paraId="12EC1915" w14:textId="77777777" w:rsidTr="00BA74BA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B61A" w14:textId="74CD0E6E" w:rsidR="007A7EE7" w:rsidRPr="007E3619" w:rsidRDefault="007A7EE7" w:rsidP="007A7EE7">
            <w:pPr>
              <w:widowControl w:val="0"/>
              <w:tabs>
                <w:tab w:val="left" w:pos="8844"/>
              </w:tabs>
              <w:ind w:left="142"/>
              <w:jc w:val="center"/>
              <w:rPr>
                <w:b/>
                <w:lang w:val="ro-RO"/>
              </w:rPr>
            </w:pPr>
            <w:r w:rsidRPr="007E3619">
              <w:rPr>
                <w:b/>
                <w:lang w:val="ro-RO"/>
              </w:rPr>
              <w:t>Hotărâre</w:t>
            </w:r>
            <w:r w:rsidRPr="007E3619">
              <w:rPr>
                <w:b/>
                <w:lang w:val="ro-RO"/>
              </w:rPr>
              <w:t xml:space="preserve"> a Guvernului</w:t>
            </w:r>
          </w:p>
          <w:p w14:paraId="196D5895" w14:textId="3A7AC562" w:rsidR="00B70275" w:rsidRPr="007E3619" w:rsidRDefault="007A7EE7" w:rsidP="007A7EE7">
            <w:pPr>
              <w:widowControl w:val="0"/>
              <w:tabs>
                <w:tab w:val="left" w:pos="8844"/>
              </w:tabs>
              <w:ind w:left="142"/>
              <w:jc w:val="center"/>
              <w:rPr>
                <w:b/>
                <w:bCs/>
                <w:color w:val="000000"/>
                <w:lang w:val="ro-RO"/>
              </w:rPr>
            </w:pPr>
            <w:r w:rsidRPr="007E3619">
              <w:rPr>
                <w:b/>
                <w:lang w:val="ro-RO"/>
              </w:rPr>
              <w:t xml:space="preserve">privind stabilirea încălcărilor cu caracter contravențional ale prevederilor Regulamentului (CE) nr. 1.071/2009 al Parlamentului European și al Consiliului din 21 octombrie 2009 de stabilire a unor norme comune privind condițiile care trebuie îndeplinite pentru exercitarea ocupației de operator de transport rutier și de abrogare a Directivei 96/26/CE a Consiliului, ale Regulamentului (CE) nr. 1.072/2009 al Parlamentului European și al Consiliului din 21 octombrie 2009 privind normele comune pentru accesul la piața transportului rutier internațional de mărfuri, ale Regulamentului (CE) nr. 1.073/2009 al Parlamentului European și al Consiliului din 21 octombrie 2009 privind normele comune pentru accesul la piața internațională a serviciilor de transport cu autocarul și autobuzul și de modificare a Regulamentului (CE) nr. 561/2006, ale Ordonanței Guvernului nr. 27/2011 privind transporturile rutiere și ale normelor de aplicare a acesteia, precum și a sancțiunilor contravenționale și a altor măsuri aferente aplicabile în cazul constatării încălcărilor  </w:t>
            </w:r>
          </w:p>
        </w:tc>
      </w:tr>
    </w:tbl>
    <w:p w14:paraId="068B0303" w14:textId="77777777" w:rsidR="00B70275" w:rsidRPr="007E3619" w:rsidRDefault="00B70275">
      <w:pPr>
        <w:rPr>
          <w:lang w:val="ro-RO"/>
        </w:rPr>
      </w:pPr>
    </w:p>
    <w:tbl>
      <w:tblPr>
        <w:tblW w:w="5315" w:type="pct"/>
        <w:tblInd w:w="-5" w:type="dxa"/>
        <w:tblLook w:val="04A0" w:firstRow="1" w:lastRow="0" w:firstColumn="1" w:lastColumn="0" w:noHBand="0" w:noVBand="1"/>
      </w:tblPr>
      <w:tblGrid>
        <w:gridCol w:w="9630"/>
      </w:tblGrid>
      <w:tr w:rsidR="00B70275" w:rsidRPr="007E3619" w14:paraId="1D5562B4" w14:textId="77777777" w:rsidTr="007E3619"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4F67" w14:textId="77777777" w:rsidR="00B70275" w:rsidRPr="007E3619" w:rsidRDefault="00B70275">
            <w:pPr>
              <w:keepNext/>
              <w:snapToGrid w:val="0"/>
              <w:jc w:val="center"/>
              <w:outlineLvl w:val="0"/>
              <w:rPr>
                <w:b/>
                <w:lang w:val="ro-RO"/>
              </w:rPr>
            </w:pPr>
          </w:p>
          <w:p w14:paraId="2B5159A2" w14:textId="77777777" w:rsidR="006C3D62" w:rsidRDefault="00AF7238" w:rsidP="00CA4153">
            <w:pPr>
              <w:keepNext/>
              <w:jc w:val="center"/>
              <w:outlineLvl w:val="0"/>
              <w:rPr>
                <w:b/>
                <w:lang w:val="ro-RO"/>
              </w:rPr>
            </w:pPr>
            <w:r w:rsidRPr="007E3619">
              <w:rPr>
                <w:b/>
                <w:lang w:val="ro-RO"/>
              </w:rPr>
              <w:t>2. Motivele emiterii actului normativ</w:t>
            </w:r>
          </w:p>
          <w:p w14:paraId="6695D691" w14:textId="65996866" w:rsidR="007E3619" w:rsidRPr="007E3619" w:rsidRDefault="007E3619" w:rsidP="00CA4153">
            <w:pPr>
              <w:keepNext/>
              <w:jc w:val="center"/>
              <w:outlineLvl w:val="0"/>
              <w:rPr>
                <w:b/>
                <w:lang w:val="ro-RO"/>
              </w:rPr>
            </w:pPr>
          </w:p>
        </w:tc>
      </w:tr>
    </w:tbl>
    <w:p w14:paraId="0C7EA40E" w14:textId="77777777" w:rsidR="00B70275" w:rsidRPr="007E3619" w:rsidRDefault="00B70275">
      <w:pPr>
        <w:jc w:val="center"/>
        <w:rPr>
          <w:b/>
          <w:bCs/>
          <w:color w:val="FF0000"/>
          <w:lang w:val="ro-RO"/>
        </w:rPr>
      </w:pP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2"/>
        <w:gridCol w:w="7148"/>
      </w:tblGrid>
      <w:tr w:rsidR="00B70275" w:rsidRPr="007E3619" w14:paraId="6BC940F4" w14:textId="77777777" w:rsidTr="00BE668A">
        <w:trPr>
          <w:trHeight w:val="1011"/>
        </w:trPr>
        <w:tc>
          <w:tcPr>
            <w:tcW w:w="2482" w:type="dxa"/>
            <w:shd w:val="clear" w:color="auto" w:fill="auto"/>
          </w:tcPr>
          <w:p w14:paraId="149712FD" w14:textId="6A7B0343" w:rsidR="00292438" w:rsidRPr="007E3619" w:rsidRDefault="00292438">
            <w:pPr>
              <w:rPr>
                <w:lang w:val="ro-RO"/>
              </w:rPr>
            </w:pPr>
            <w:r w:rsidRPr="007E3619">
              <w:rPr>
                <w:lang w:val="ro-RO"/>
              </w:rPr>
              <w:t>2.1. Sursa proiectului de act normativ</w:t>
            </w:r>
          </w:p>
          <w:p w14:paraId="02C023F1" w14:textId="77777777" w:rsidR="00292438" w:rsidRPr="007E3619" w:rsidRDefault="00292438">
            <w:pPr>
              <w:rPr>
                <w:lang w:val="ro-RO"/>
              </w:rPr>
            </w:pPr>
          </w:p>
          <w:p w14:paraId="202F9897" w14:textId="77777777" w:rsidR="00292438" w:rsidRPr="007E3619" w:rsidRDefault="00292438">
            <w:pPr>
              <w:rPr>
                <w:lang w:val="ro-RO"/>
              </w:rPr>
            </w:pPr>
          </w:p>
          <w:p w14:paraId="02242501" w14:textId="77777777" w:rsidR="00292438" w:rsidRPr="007E3619" w:rsidRDefault="00292438">
            <w:pPr>
              <w:rPr>
                <w:lang w:val="ro-RO"/>
              </w:rPr>
            </w:pPr>
          </w:p>
          <w:p w14:paraId="3FAC3A6F" w14:textId="77777777" w:rsidR="00292438" w:rsidRPr="007E3619" w:rsidRDefault="00292438">
            <w:pPr>
              <w:rPr>
                <w:lang w:val="ro-RO"/>
              </w:rPr>
            </w:pPr>
          </w:p>
          <w:p w14:paraId="4D4A7F19" w14:textId="77777777" w:rsidR="00292438" w:rsidRPr="007E3619" w:rsidRDefault="00292438">
            <w:pPr>
              <w:rPr>
                <w:lang w:val="ro-RO"/>
              </w:rPr>
            </w:pPr>
          </w:p>
          <w:p w14:paraId="5ED92878" w14:textId="4D964D84" w:rsidR="00292438" w:rsidRPr="007E3619" w:rsidRDefault="00BE668A">
            <w:pPr>
              <w:rPr>
                <w:lang w:val="ro-RO"/>
              </w:rPr>
            </w:pPr>
            <w:r>
              <w:rPr>
                <w:lang w:val="ro-RO"/>
              </w:rPr>
              <w:softHyphen/>
            </w:r>
            <w:r>
              <w:rPr>
                <w:lang w:val="ro-RO"/>
              </w:rPr>
              <w:softHyphen/>
            </w:r>
            <w:r>
              <w:rPr>
                <w:lang w:val="ro-RO"/>
              </w:rPr>
              <w:softHyphen/>
            </w:r>
            <w:r>
              <w:rPr>
                <w:lang w:val="ro-RO"/>
              </w:rPr>
              <w:softHyphen/>
            </w:r>
            <w:r>
              <w:rPr>
                <w:lang w:val="ro-RO"/>
              </w:rPr>
              <w:softHyphen/>
            </w:r>
            <w:r>
              <w:rPr>
                <w:lang w:val="ro-RO"/>
              </w:rPr>
              <w:softHyphen/>
            </w:r>
            <w:r>
              <w:rPr>
                <w:lang w:val="ro-RO"/>
              </w:rPr>
              <w:softHyphen/>
            </w:r>
          </w:p>
          <w:p w14:paraId="6905FA74" w14:textId="77777777" w:rsidR="00B70275" w:rsidRPr="00BE668A" w:rsidRDefault="00B70275" w:rsidP="00BE668A">
            <w:pPr>
              <w:rPr>
                <w:lang w:val="ro-RO"/>
              </w:rPr>
            </w:pPr>
          </w:p>
        </w:tc>
        <w:tc>
          <w:tcPr>
            <w:tcW w:w="7148" w:type="dxa"/>
            <w:shd w:val="clear" w:color="auto" w:fill="auto"/>
          </w:tcPr>
          <w:p w14:paraId="03606CC5" w14:textId="256624AF" w:rsidR="00F65635" w:rsidRPr="00BE668A" w:rsidRDefault="006F4D98" w:rsidP="00BE668A">
            <w:pPr>
              <w:ind w:firstLine="34"/>
              <w:jc w:val="both"/>
              <w:rPr>
                <w:bCs/>
                <w:lang w:val="ro-RO"/>
              </w:rPr>
            </w:pPr>
            <w:r w:rsidRPr="007E3619">
              <w:rPr>
                <w:bCs/>
                <w:lang w:val="ro-RO"/>
              </w:rPr>
              <w:t xml:space="preserve">În conformitate cu prevederile </w:t>
            </w:r>
            <w:r w:rsidR="00E06310" w:rsidRPr="007E3619">
              <w:rPr>
                <w:bCs/>
                <w:lang w:val="ro-RO"/>
              </w:rPr>
              <w:t>art. 85 alin. (1) și (2)</w:t>
            </w:r>
            <w:r w:rsidRPr="007E3619">
              <w:rPr>
                <w:bCs/>
                <w:lang w:val="ro-RO"/>
              </w:rPr>
              <w:t xml:space="preserve"> din </w:t>
            </w:r>
            <w:r w:rsidR="00E06310" w:rsidRPr="007E3619">
              <w:rPr>
                <w:bCs/>
                <w:lang w:val="ro-RO"/>
              </w:rPr>
              <w:t>Ordonanța</w:t>
            </w:r>
            <w:r w:rsidRPr="007E3619">
              <w:rPr>
                <w:bCs/>
                <w:lang w:val="ro-RO"/>
              </w:rPr>
              <w:t xml:space="preserve"> Guvernului nr. </w:t>
            </w:r>
            <w:r w:rsidR="00E06310" w:rsidRPr="007E3619">
              <w:rPr>
                <w:bCs/>
                <w:lang w:val="ro-RO"/>
              </w:rPr>
              <w:t>27/2011 privind transporturile rutiere, cu modificările și completările ulterioare, î</w:t>
            </w:r>
            <w:r w:rsidR="00E06310" w:rsidRPr="007E3619">
              <w:rPr>
                <w:bCs/>
                <w:lang w:val="ro-RO"/>
              </w:rPr>
              <w:t>ncălcările prevederilor Regulamentului (CE) nr. 1.071/2009, ale Regu</w:t>
            </w:r>
            <w:r w:rsidR="00E06310" w:rsidRPr="007E3619">
              <w:rPr>
                <w:bCs/>
                <w:lang w:val="ro-RO"/>
              </w:rPr>
              <w:t>lamentului (CE) nr. 1.072/2009 ș</w:t>
            </w:r>
            <w:r w:rsidR="00E06310" w:rsidRPr="007E3619">
              <w:rPr>
                <w:bCs/>
                <w:lang w:val="ro-RO"/>
              </w:rPr>
              <w:t xml:space="preserve">i ale Regulamentului (CE) nr. 1.073/2009, ale </w:t>
            </w:r>
            <w:r w:rsidR="00E06310" w:rsidRPr="007E3619">
              <w:rPr>
                <w:bCs/>
                <w:lang w:val="ro-RO"/>
              </w:rPr>
              <w:t>ordonanț</w:t>
            </w:r>
            <w:r w:rsidR="00E06310" w:rsidRPr="007E3619">
              <w:rPr>
                <w:bCs/>
                <w:lang w:val="ro-RO"/>
              </w:rPr>
              <w:t>e</w:t>
            </w:r>
            <w:r w:rsidR="00E06310" w:rsidRPr="007E3619">
              <w:rPr>
                <w:bCs/>
                <w:lang w:val="ro-RO"/>
              </w:rPr>
              <w:t>i, precum ș</w:t>
            </w:r>
            <w:r w:rsidR="00E06310" w:rsidRPr="007E3619">
              <w:rPr>
                <w:bCs/>
                <w:lang w:val="ro-RO"/>
              </w:rPr>
              <w:t>i ale normelor de aplicare a acesteia atrag răspunderea civilă, administra</w:t>
            </w:r>
            <w:r w:rsidR="00E06310" w:rsidRPr="007E3619">
              <w:rPr>
                <w:bCs/>
                <w:lang w:val="ro-RO"/>
              </w:rPr>
              <w:t>tivă, penală și contravențională, în condiț</w:t>
            </w:r>
            <w:r w:rsidR="00E06310" w:rsidRPr="007E3619">
              <w:rPr>
                <w:bCs/>
                <w:lang w:val="ro-RO"/>
              </w:rPr>
              <w:t>iile legii</w:t>
            </w:r>
            <w:r w:rsidR="00E06310" w:rsidRPr="007E3619">
              <w:rPr>
                <w:bCs/>
                <w:lang w:val="ro-RO"/>
              </w:rPr>
              <w:t>, iar încălcările respective și sancț</w:t>
            </w:r>
            <w:r w:rsidR="00E06310" w:rsidRPr="007E3619">
              <w:rPr>
                <w:bCs/>
                <w:lang w:val="ro-RO"/>
              </w:rPr>
              <w:t>iunile aplicabile în cazul constatării acestora se stabi</w:t>
            </w:r>
            <w:r w:rsidR="00E06310" w:rsidRPr="007E3619">
              <w:rPr>
                <w:bCs/>
                <w:lang w:val="ro-RO"/>
              </w:rPr>
              <w:t>lesc prin hotărâre a Guvernului</w:t>
            </w:r>
            <w:r w:rsidRPr="007E3619">
              <w:rPr>
                <w:bCs/>
                <w:lang w:val="ro-RO"/>
              </w:rPr>
              <w:t>.</w:t>
            </w:r>
          </w:p>
        </w:tc>
      </w:tr>
      <w:tr w:rsidR="00BE668A" w:rsidRPr="007E3619" w14:paraId="6A3C77D8" w14:textId="77777777" w:rsidTr="00BE668A">
        <w:trPr>
          <w:trHeight w:val="1011"/>
        </w:trPr>
        <w:tc>
          <w:tcPr>
            <w:tcW w:w="2482" w:type="dxa"/>
            <w:shd w:val="clear" w:color="auto" w:fill="auto"/>
          </w:tcPr>
          <w:p w14:paraId="4A861007" w14:textId="65E42AD1" w:rsidR="00BE668A" w:rsidRPr="007E3619" w:rsidRDefault="00BE668A">
            <w:pPr>
              <w:rPr>
                <w:lang w:val="ro-RO"/>
              </w:rPr>
            </w:pPr>
            <w:r>
              <w:rPr>
                <w:lang w:val="ro-RO"/>
              </w:rPr>
              <w:t>2.2. Descrierea situaț</w:t>
            </w:r>
            <w:r w:rsidRPr="00BE668A">
              <w:rPr>
                <w:lang w:val="ro-RO"/>
              </w:rPr>
              <w:t>iei actuale</w:t>
            </w:r>
          </w:p>
        </w:tc>
        <w:tc>
          <w:tcPr>
            <w:tcW w:w="7148" w:type="dxa"/>
            <w:shd w:val="clear" w:color="auto" w:fill="auto"/>
          </w:tcPr>
          <w:p w14:paraId="62A989A2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În prezent, încălcările cu caracter contravențional ale prevederilor Regulamentului (CE) nr. 1.071/2009 al Parlamentului European și al Consiliului din 21 octombrie 2009 de stabilire a unor norme comune privind condițiile care trebuie îndeplinite pentru exercitarea ocupației de operator de transport rutier și de abrogare a Directivei 96/26/CE a Consiliului, ale Regulamentului (CE) nr. 1.072/2009 al Parlamentului European și al Consiliului din 21 octombrie 2009 privind normele comune pentru accesul la piața transportului rutier internațional de mărfuri, ale Regulamentului (CE) nr. 1.073/2009 al Parlamentului European și al Consiliului din 21 octombrie 2009 privind normele comune pentru accesul la piața internațională a serviciilor de transport cu autocarul și autobuzul și de modificare a Regulamentului (CE) nr. 561/2006, ale Ordonanței Guvernului nr. 27/2011 privind transporturile rutiere și ale normelor de aplicare a acesteia, precum și sancțiunile contravenționale și alte măsuri aferente aplicabile în cazul constatării încălcărilor sunt prevăzute în Hotărârea Guvernului nr.69/2012, cu modificările și completările ulterioare.</w:t>
            </w:r>
          </w:p>
          <w:p w14:paraId="1D1207A3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 xml:space="preserve">În cuprinsul HG nr. 69/2012, încălcările sunt clasificate în 3 categorii, în funcție de gravitatea acestora, în temeiul art. 85 alin. (3) din Ordonanța </w:t>
            </w:r>
            <w:r w:rsidRPr="00BE668A">
              <w:rPr>
                <w:bCs/>
                <w:lang w:val="ro-RO"/>
              </w:rPr>
              <w:lastRenderedPageBreak/>
              <w:t>Guvernului nr. 27/2011 privind transporturile rutiere, cu modificările și completările ulterioare, denumită în continuare OG nr. 27/2011.</w:t>
            </w:r>
          </w:p>
          <w:p w14:paraId="57BBAE63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 xml:space="preserve">Prin Ordonanța Guvernului nr. 12 din 31 ianuarie 2022 pentru modificarea și completarea unor acte normative din domeniul transporturilor rutiere a fost modificat art. 85 alin. (3) din OG nr. 27/2011, astfel: </w:t>
            </w:r>
          </w:p>
          <w:p w14:paraId="561DF251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(3) Încălcările prevăzute la alin. (1) cu caracter contravențional se clasifică în 4 categorii, după cum urmează:</w:t>
            </w:r>
          </w:p>
          <w:p w14:paraId="55E5EBE9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a) cele mai grave încălcări;</w:t>
            </w:r>
          </w:p>
          <w:p w14:paraId="7098255B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b) încălcări foarte grave;</w:t>
            </w:r>
          </w:p>
          <w:p w14:paraId="17DDFA7D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c) încălcări grave;</w:t>
            </w:r>
          </w:p>
          <w:p w14:paraId="39DF4C93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d) încălcări minore.</w:t>
            </w:r>
          </w:p>
          <w:p w14:paraId="468981F6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Astfel, este necesară o nouă clasificare a încălcărilor legislației din transportul rutier stabilite în HG nr. 69/2012.</w:t>
            </w:r>
          </w:p>
          <w:p w14:paraId="244B9D0D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De asemenea, este necesară o revizuire a unor încălcări, pentru o corelare corespunzătoare cu modificările legislative care au intervenit la nivelul OG nr. 27/2011 și a normelor de aplicare a ordonanței, în principal urmare adoptării Regulamentul (UE) 2020/1.055 al Parlamentului European și al Consiliului din 15 iulie 2020 de modificare a Regulamentelor (CE) nr. 1.071/2009, (CE) nr. 1.072/2009 și (UE) nr. 1.024/2012 în vederea adaptării acestora la evoluțiile sectorului transportului rutier, parte din pachetul legislativ Mobilitate I.</w:t>
            </w:r>
          </w:p>
          <w:p w14:paraId="03D4B7AB" w14:textId="77777777" w:rsidR="00BE668A" w:rsidRPr="00BE668A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 xml:space="preserve">Totodată, este necesară o recorelare a măsurilor administrative de suspendare/retragere a documentelor care asigură accesul la ocupație și la piață în domeniul transporturilor rutiere, în funcție de noua clasificare a încălcărilor. </w:t>
            </w:r>
          </w:p>
          <w:p w14:paraId="1421A826" w14:textId="1296DA97" w:rsidR="00BE668A" w:rsidRPr="007E3619" w:rsidRDefault="00BE668A" w:rsidP="00BE668A">
            <w:pPr>
              <w:ind w:firstLine="34"/>
              <w:jc w:val="both"/>
              <w:rPr>
                <w:bCs/>
                <w:lang w:val="ro-RO"/>
              </w:rPr>
            </w:pPr>
            <w:r w:rsidRPr="00BE668A">
              <w:rPr>
                <w:bCs/>
                <w:lang w:val="ro-RO"/>
              </w:rPr>
              <w:t>Având în vedere că dispozițiile HG nr. 69/2012 vor fi modificate sau completate într-o proporție semnificativă, este necesară abrogarea HG nr. 69/2012 și adoptarea unui nou act normativ cu același domeniu de reglementare.</w:t>
            </w:r>
          </w:p>
        </w:tc>
      </w:tr>
      <w:tr w:rsidR="00B70275" w:rsidRPr="007E3619" w14:paraId="5E0E29E2" w14:textId="77777777" w:rsidTr="00BE668A">
        <w:tc>
          <w:tcPr>
            <w:tcW w:w="2482" w:type="dxa"/>
            <w:shd w:val="clear" w:color="auto" w:fill="auto"/>
          </w:tcPr>
          <w:p w14:paraId="22CDCA1A" w14:textId="476F9602" w:rsidR="00B70275" w:rsidRPr="007E3619" w:rsidRDefault="00AF7238">
            <w:pPr>
              <w:rPr>
                <w:lang w:val="ro-RO"/>
              </w:rPr>
            </w:pPr>
            <w:r w:rsidRPr="007E3619">
              <w:rPr>
                <w:lang w:val="ro-RO"/>
              </w:rPr>
              <w:lastRenderedPageBreak/>
              <w:t>2.</w:t>
            </w:r>
            <w:r w:rsidR="004B7633" w:rsidRPr="007E3619">
              <w:rPr>
                <w:lang w:val="ro-RO"/>
              </w:rPr>
              <w:t xml:space="preserve">3. </w:t>
            </w:r>
            <w:r w:rsidRPr="007E3619">
              <w:rPr>
                <w:lang w:val="ro-RO"/>
              </w:rPr>
              <w:t xml:space="preserve"> Schimbări preconizate</w:t>
            </w:r>
          </w:p>
        </w:tc>
        <w:tc>
          <w:tcPr>
            <w:tcW w:w="7148" w:type="dxa"/>
            <w:shd w:val="clear" w:color="auto" w:fill="auto"/>
          </w:tcPr>
          <w:p w14:paraId="4C1513DE" w14:textId="4EF2CC78" w:rsidR="00AA0045" w:rsidRPr="007E3619" w:rsidRDefault="00AA0045" w:rsidP="00AA0045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Calibri"/>
                <w:lang w:val="ro-RO"/>
              </w:rPr>
            </w:pPr>
            <w:r w:rsidRPr="007E3619">
              <w:rPr>
                <w:rFonts w:eastAsia="Calibri"/>
                <w:lang w:val="ro-RO"/>
              </w:rPr>
              <w:t>Proiectul de act normativ se referă la stabilirea încălcărilor cu caracter contravențional ale prevederilor Regulamentului (CE) nr. 1.071/2009, ale Regulamentului (CE) nr. 1.072/2009, ale Regulamentului (CE) nr. 1.073/2009, ale Ordonanței Guvernului nr. 27/2011 privind transporturile rutiere și ale normelor de aplicare a acesteia, precum și a sancțiunilor contravenționale și a altor măsuri aferente aplicabile în cazul constatării încălcărilor.</w:t>
            </w:r>
          </w:p>
          <w:p w14:paraId="5FA7FB4C" w14:textId="77777777" w:rsidR="00AA0045" w:rsidRPr="007E3619" w:rsidRDefault="00AA0045" w:rsidP="00AA0045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Calibri"/>
                <w:lang w:val="ro-RO"/>
              </w:rPr>
            </w:pPr>
            <w:r w:rsidRPr="007E3619">
              <w:rPr>
                <w:rFonts w:eastAsia="Calibri"/>
                <w:lang w:val="ro-RO"/>
              </w:rPr>
              <w:t>De asemenea, proiectul de act normativ prevede:</w:t>
            </w:r>
          </w:p>
          <w:p w14:paraId="4A606FAC" w14:textId="77777777" w:rsidR="00AA0045" w:rsidRPr="007E3619" w:rsidRDefault="00AA0045" w:rsidP="00AA0045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Calibri"/>
                <w:lang w:val="ro-RO"/>
              </w:rPr>
            </w:pPr>
            <w:r w:rsidRPr="007E3619">
              <w:rPr>
                <w:rFonts w:eastAsia="Calibri"/>
                <w:lang w:val="ro-RO"/>
              </w:rPr>
              <w:t>- sancțiunile contravenționale și cuantumul amenzii contravenționale pentru fiecare categorie de încălcări;</w:t>
            </w:r>
          </w:p>
          <w:p w14:paraId="70A8E3E3" w14:textId="77777777" w:rsidR="00AA0045" w:rsidRPr="007E3619" w:rsidRDefault="00AA0045" w:rsidP="00AA0045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Calibri"/>
                <w:lang w:val="ro-RO"/>
              </w:rPr>
            </w:pPr>
            <w:r w:rsidRPr="007E3619">
              <w:rPr>
                <w:rFonts w:eastAsia="Calibri"/>
                <w:lang w:val="ro-RO"/>
              </w:rPr>
              <w:t xml:space="preserve">- măsurile administrative aplicate în cazul constatării anumitor încălcări ale reglementărilor interne </w:t>
            </w:r>
            <w:proofErr w:type="spellStart"/>
            <w:r w:rsidRPr="007E3619">
              <w:rPr>
                <w:rFonts w:eastAsia="Calibri"/>
                <w:lang w:val="ro-RO"/>
              </w:rPr>
              <w:t>şi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</w:t>
            </w:r>
            <w:proofErr w:type="spellStart"/>
            <w:r w:rsidRPr="007E3619">
              <w:rPr>
                <w:rFonts w:eastAsia="Calibri"/>
                <w:lang w:val="ro-RO"/>
              </w:rPr>
              <w:t>internaţionale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din domeniul transporturilor rutiere, precum </w:t>
            </w:r>
            <w:proofErr w:type="spellStart"/>
            <w:r w:rsidRPr="007E3619">
              <w:rPr>
                <w:rFonts w:eastAsia="Calibri"/>
                <w:lang w:val="ro-RO"/>
              </w:rPr>
              <w:t>şi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ale reglementărilor privind activitatea de pregătire a persoanelor în vederea </w:t>
            </w:r>
            <w:proofErr w:type="spellStart"/>
            <w:r w:rsidRPr="007E3619">
              <w:rPr>
                <w:rFonts w:eastAsia="Calibri"/>
                <w:lang w:val="ro-RO"/>
              </w:rPr>
              <w:t>obţinerii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permisului de conducere, respectiv privind activitatea de pregătire </w:t>
            </w:r>
            <w:proofErr w:type="spellStart"/>
            <w:r w:rsidRPr="007E3619">
              <w:rPr>
                <w:rFonts w:eastAsia="Calibri"/>
                <w:lang w:val="ro-RO"/>
              </w:rPr>
              <w:t>şi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</w:t>
            </w:r>
            <w:proofErr w:type="spellStart"/>
            <w:r w:rsidRPr="007E3619">
              <w:rPr>
                <w:rFonts w:eastAsia="Calibri"/>
                <w:lang w:val="ro-RO"/>
              </w:rPr>
              <w:t>perfecţionare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a personalului de specialitate din domeniul transporturilor rutiere (retragere/suspendare a </w:t>
            </w:r>
            <w:proofErr w:type="spellStart"/>
            <w:r w:rsidRPr="007E3619">
              <w:rPr>
                <w:rFonts w:eastAsia="Calibri"/>
                <w:lang w:val="ro-RO"/>
              </w:rPr>
              <w:t>licenţei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de transport/</w:t>
            </w:r>
            <w:proofErr w:type="spellStart"/>
            <w:r w:rsidRPr="007E3619">
              <w:rPr>
                <w:rFonts w:eastAsia="Calibri"/>
                <w:lang w:val="ro-RO"/>
              </w:rPr>
              <w:t>licenţei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comunitare/</w:t>
            </w:r>
            <w:proofErr w:type="spellStart"/>
            <w:r w:rsidRPr="007E3619">
              <w:rPr>
                <w:rFonts w:eastAsia="Calibri"/>
                <w:lang w:val="ro-RO"/>
              </w:rPr>
              <w:t>licenţei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de traseu/certificatului de transport rutier în cont propriu/</w:t>
            </w:r>
            <w:proofErr w:type="spellStart"/>
            <w:r w:rsidRPr="007E3619">
              <w:rPr>
                <w:rFonts w:eastAsia="Calibri"/>
                <w:lang w:val="ro-RO"/>
              </w:rPr>
              <w:t>licenţei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pentru </w:t>
            </w:r>
            <w:proofErr w:type="spellStart"/>
            <w:r w:rsidRPr="007E3619">
              <w:rPr>
                <w:rFonts w:eastAsia="Calibri"/>
                <w:lang w:val="ro-RO"/>
              </w:rPr>
              <w:t>activităţi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conexe transportului rutier/copiei conforme a </w:t>
            </w:r>
            <w:proofErr w:type="spellStart"/>
            <w:r w:rsidRPr="007E3619">
              <w:rPr>
                <w:rFonts w:eastAsia="Calibri"/>
                <w:lang w:val="ro-RO"/>
              </w:rPr>
              <w:t>licenţei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de transport/copiei conforme a </w:t>
            </w:r>
            <w:proofErr w:type="spellStart"/>
            <w:r w:rsidRPr="007E3619">
              <w:rPr>
                <w:rFonts w:eastAsia="Calibri"/>
                <w:lang w:val="ro-RO"/>
              </w:rPr>
              <w:t>licenţei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comunitare/copiei conforme a certificatului de transport rutier în cont propriu, </w:t>
            </w:r>
            <w:proofErr w:type="spellStart"/>
            <w:r w:rsidRPr="007E3619">
              <w:rPr>
                <w:rFonts w:eastAsia="Calibri"/>
                <w:lang w:val="ro-RO"/>
              </w:rPr>
              <w:t>autorizaţiei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pentru transportul rutier național contra cost și a copiei conforme a acesteia, </w:t>
            </w:r>
            <w:proofErr w:type="spellStart"/>
            <w:r w:rsidRPr="007E3619">
              <w:rPr>
                <w:rFonts w:eastAsia="Calibri"/>
                <w:lang w:val="ro-RO"/>
              </w:rPr>
              <w:t>autorizaţiei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de transport </w:t>
            </w:r>
            <w:proofErr w:type="spellStart"/>
            <w:r w:rsidRPr="007E3619">
              <w:rPr>
                <w:rFonts w:eastAsia="Calibri"/>
                <w:lang w:val="ro-RO"/>
              </w:rPr>
              <w:t>internaţional</w:t>
            </w:r>
            <w:proofErr w:type="spellEnd"/>
            <w:r w:rsidRPr="007E3619">
              <w:rPr>
                <w:rFonts w:eastAsia="Calibri"/>
                <w:lang w:val="ro-RO"/>
              </w:rPr>
              <w:t>/</w:t>
            </w:r>
            <w:proofErr w:type="spellStart"/>
            <w:r w:rsidRPr="007E3619">
              <w:rPr>
                <w:rFonts w:eastAsia="Calibri"/>
                <w:lang w:val="ro-RO"/>
              </w:rPr>
              <w:t>autorizaţiei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</w:t>
            </w:r>
            <w:proofErr w:type="spellStart"/>
            <w:r w:rsidRPr="007E3619">
              <w:rPr>
                <w:rFonts w:eastAsia="Calibri"/>
                <w:lang w:val="ro-RO"/>
              </w:rPr>
              <w:t>şcolii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de conducători auto/</w:t>
            </w:r>
            <w:proofErr w:type="spellStart"/>
            <w:r w:rsidRPr="007E3619">
              <w:rPr>
                <w:rFonts w:eastAsia="Calibri"/>
                <w:lang w:val="ro-RO"/>
              </w:rPr>
              <w:t>autorizaţiei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</w:t>
            </w:r>
            <w:r w:rsidRPr="007E3619">
              <w:rPr>
                <w:rFonts w:eastAsia="Calibri"/>
                <w:lang w:val="ro-RO"/>
              </w:rPr>
              <w:lastRenderedPageBreak/>
              <w:t xml:space="preserve">centrului de pregătire </w:t>
            </w:r>
            <w:proofErr w:type="spellStart"/>
            <w:r w:rsidRPr="007E3619">
              <w:rPr>
                <w:rFonts w:eastAsia="Calibri"/>
                <w:lang w:val="ro-RO"/>
              </w:rPr>
              <w:t>şi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</w:t>
            </w:r>
            <w:proofErr w:type="spellStart"/>
            <w:r w:rsidRPr="007E3619">
              <w:rPr>
                <w:rFonts w:eastAsia="Calibri"/>
                <w:lang w:val="ro-RO"/>
              </w:rPr>
              <w:t>perfecţionare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a personalului de specialitate din domeniul transporturilor rutiere, după caz);</w:t>
            </w:r>
          </w:p>
          <w:p w14:paraId="1A3B6378" w14:textId="77777777" w:rsidR="00AA0045" w:rsidRPr="007E3619" w:rsidRDefault="00AA0045" w:rsidP="00AA0045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Calibri"/>
                <w:lang w:val="ro-RO"/>
              </w:rPr>
            </w:pPr>
            <w:r w:rsidRPr="007E3619">
              <w:rPr>
                <w:rFonts w:eastAsia="Calibri"/>
                <w:lang w:val="ro-RO"/>
              </w:rPr>
              <w:t xml:space="preserve">- măsurile de imobilizare a vehiculelor </w:t>
            </w:r>
            <w:proofErr w:type="spellStart"/>
            <w:r w:rsidRPr="007E3619">
              <w:rPr>
                <w:rFonts w:eastAsia="Calibri"/>
                <w:lang w:val="ro-RO"/>
              </w:rPr>
              <w:t>şi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de suspendare a dreptului de utilizare a unui autovehicul prin </w:t>
            </w:r>
            <w:proofErr w:type="spellStart"/>
            <w:r w:rsidRPr="007E3619">
              <w:rPr>
                <w:rFonts w:eastAsia="Calibri"/>
                <w:lang w:val="ro-RO"/>
              </w:rPr>
              <w:t>reţinerea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</w:t>
            </w:r>
            <w:proofErr w:type="spellStart"/>
            <w:r w:rsidRPr="007E3619">
              <w:rPr>
                <w:rFonts w:eastAsia="Calibri"/>
                <w:lang w:val="ro-RO"/>
              </w:rPr>
              <w:t>plăcuţelor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cu numărul de înmatriculare </w:t>
            </w:r>
            <w:proofErr w:type="spellStart"/>
            <w:r w:rsidRPr="007E3619">
              <w:rPr>
                <w:rFonts w:eastAsia="Calibri"/>
                <w:lang w:val="ro-RO"/>
              </w:rPr>
              <w:t>şi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</w:t>
            </w:r>
            <w:proofErr w:type="spellStart"/>
            <w:r w:rsidRPr="007E3619">
              <w:rPr>
                <w:rFonts w:eastAsia="Calibri"/>
                <w:lang w:val="ro-RO"/>
              </w:rPr>
              <w:t>reţinerea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certificatului de înmatriculare ,</w:t>
            </w:r>
          </w:p>
          <w:p w14:paraId="7363AA90" w14:textId="77777777" w:rsidR="00AA0045" w:rsidRPr="007E3619" w:rsidRDefault="00AA0045" w:rsidP="00AA0045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Calibri"/>
                <w:lang w:val="ro-RO"/>
              </w:rPr>
            </w:pPr>
            <w:r w:rsidRPr="007E3619">
              <w:rPr>
                <w:rFonts w:eastAsia="Calibri"/>
                <w:lang w:val="ro-RO"/>
              </w:rPr>
              <w:t xml:space="preserve">care pot fi dispuse de către inspectorii I.S.C.T.R. sau de către polițiștii rutieri, în cazurile prevăzute de </w:t>
            </w:r>
            <w:proofErr w:type="spellStart"/>
            <w:r w:rsidRPr="007E3619">
              <w:rPr>
                <w:rFonts w:eastAsia="Calibri"/>
                <w:lang w:val="ro-RO"/>
              </w:rPr>
              <w:t>legislaţia</w:t>
            </w:r>
            <w:proofErr w:type="spellEnd"/>
            <w:r w:rsidRPr="007E3619">
              <w:rPr>
                <w:rFonts w:eastAsia="Calibri"/>
                <w:lang w:val="ro-RO"/>
              </w:rPr>
              <w:t xml:space="preserve"> în vigoare.</w:t>
            </w:r>
          </w:p>
          <w:p w14:paraId="748644E6" w14:textId="51934A73" w:rsidR="000424C0" w:rsidRPr="007E3619" w:rsidRDefault="00AA0045" w:rsidP="00AA0045">
            <w:pPr>
              <w:suppressAutoHyphens/>
              <w:autoSpaceDN w:val="0"/>
              <w:ind w:firstLine="34"/>
              <w:jc w:val="both"/>
              <w:textAlignment w:val="baseline"/>
              <w:rPr>
                <w:rFonts w:eastAsia="Calibri"/>
                <w:lang w:val="ro-RO"/>
              </w:rPr>
            </w:pPr>
            <w:r w:rsidRPr="007E3619">
              <w:rPr>
                <w:rFonts w:eastAsia="Calibri"/>
                <w:lang w:val="ro-RO"/>
              </w:rPr>
              <w:t>Proiectul de act normativ prevede abrogarea HG nr. 69/2012.</w:t>
            </w:r>
          </w:p>
        </w:tc>
      </w:tr>
      <w:tr w:rsidR="00B70275" w:rsidRPr="007E3619" w14:paraId="71A2A519" w14:textId="77777777" w:rsidTr="00BE668A">
        <w:tc>
          <w:tcPr>
            <w:tcW w:w="2482" w:type="dxa"/>
            <w:shd w:val="clear" w:color="auto" w:fill="auto"/>
          </w:tcPr>
          <w:p w14:paraId="6069A688" w14:textId="6BB24A05" w:rsidR="00B70275" w:rsidRPr="007E3619" w:rsidRDefault="004B7633" w:rsidP="004B7633">
            <w:pPr>
              <w:rPr>
                <w:lang w:val="ro-RO"/>
              </w:rPr>
            </w:pPr>
            <w:r w:rsidRPr="007E3619">
              <w:rPr>
                <w:lang w:val="ro-RO"/>
              </w:rPr>
              <w:lastRenderedPageBreak/>
              <w:t>2.4</w:t>
            </w:r>
            <w:r w:rsidR="00AF7238" w:rsidRPr="007E3619">
              <w:rPr>
                <w:lang w:val="ro-RO"/>
              </w:rPr>
              <w:t>. Alte informaţii</w:t>
            </w:r>
          </w:p>
        </w:tc>
        <w:tc>
          <w:tcPr>
            <w:tcW w:w="7148" w:type="dxa"/>
            <w:shd w:val="clear" w:color="auto" w:fill="auto"/>
          </w:tcPr>
          <w:p w14:paraId="0527951D" w14:textId="6F9C15DB" w:rsidR="00F15B0F" w:rsidRPr="007E3619" w:rsidRDefault="00AA0045" w:rsidP="00676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lang w:val="ro-RO"/>
              </w:rPr>
            </w:pPr>
            <w:r w:rsidRPr="007E3619">
              <w:rPr>
                <w:lang w:val="ro-RO"/>
              </w:rPr>
              <w:t>Nu au fost identificate.</w:t>
            </w:r>
          </w:p>
          <w:p w14:paraId="50268AAB" w14:textId="73476F69" w:rsidR="00B70275" w:rsidRPr="007E3619" w:rsidRDefault="00115EBA" w:rsidP="00676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o-RO"/>
              </w:rPr>
            </w:pPr>
            <w:r w:rsidRPr="007E3619">
              <w:rPr>
                <w:lang w:val="ro-RO"/>
              </w:rPr>
              <w:t> </w:t>
            </w:r>
            <w:r w:rsidR="00AF7238" w:rsidRPr="007E3619">
              <w:rPr>
                <w:lang w:val="ro-RO"/>
              </w:rPr>
              <w:t xml:space="preserve"> </w:t>
            </w:r>
          </w:p>
        </w:tc>
      </w:tr>
    </w:tbl>
    <w:p w14:paraId="07A4AE44" w14:textId="77777777" w:rsidR="00B70275" w:rsidRPr="007E3619" w:rsidRDefault="00B70275">
      <w:pPr>
        <w:jc w:val="center"/>
        <w:rPr>
          <w:b/>
          <w:lang w:val="ro-RO"/>
        </w:rPr>
      </w:pPr>
    </w:p>
    <w:p w14:paraId="29E38B14" w14:textId="77777777" w:rsidR="004B7633" w:rsidRPr="007E3619" w:rsidRDefault="004B7633" w:rsidP="004B7633">
      <w:pPr>
        <w:ind w:right="3"/>
        <w:jc w:val="center"/>
        <w:rPr>
          <w:b/>
          <w:lang w:val="ro-RO" w:eastAsia="ro-RO"/>
        </w:rPr>
      </w:pPr>
      <w:r w:rsidRPr="007E3619">
        <w:rPr>
          <w:b/>
          <w:lang w:val="ro-RO" w:eastAsia="ro-RO"/>
        </w:rPr>
        <w:t>Secțiunea a 3-a</w:t>
      </w:r>
    </w:p>
    <w:p w14:paraId="6AE86042" w14:textId="722BA3BC" w:rsidR="007E3619" w:rsidRDefault="004B7633" w:rsidP="00DA351E">
      <w:pPr>
        <w:ind w:right="3"/>
        <w:jc w:val="center"/>
        <w:rPr>
          <w:b/>
          <w:color w:val="000000"/>
          <w:lang w:val="ro-RO" w:eastAsia="ro-RO"/>
        </w:rPr>
      </w:pPr>
      <w:r w:rsidRPr="007E3619">
        <w:rPr>
          <w:b/>
          <w:lang w:val="ro-RO" w:eastAsia="ro-RO"/>
        </w:rPr>
        <w:t xml:space="preserve"> </w:t>
      </w:r>
      <w:r w:rsidRPr="007E3619">
        <w:rPr>
          <w:b/>
          <w:color w:val="000000"/>
          <w:lang w:val="ro-RO" w:eastAsia="ro-RO"/>
        </w:rPr>
        <w:t xml:space="preserve">Impactul socioeconomic </w:t>
      </w:r>
    </w:p>
    <w:p w14:paraId="6D960F44" w14:textId="77777777" w:rsidR="00DA351E" w:rsidRPr="007E3619" w:rsidRDefault="00DA351E" w:rsidP="00DA351E">
      <w:pPr>
        <w:ind w:right="3"/>
        <w:jc w:val="center"/>
        <w:rPr>
          <w:b/>
          <w:color w:val="000000"/>
          <w:lang w:val="ro-RO" w:eastAsia="ro-RO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110"/>
      </w:tblGrid>
      <w:tr w:rsidR="004B7633" w:rsidRPr="007E3619" w14:paraId="751DCEF9" w14:textId="77777777" w:rsidTr="007E3619">
        <w:tc>
          <w:tcPr>
            <w:tcW w:w="2520" w:type="dxa"/>
          </w:tcPr>
          <w:p w14:paraId="1BDE6A57" w14:textId="77777777" w:rsidR="004B7633" w:rsidRPr="007E3619" w:rsidRDefault="004B7633" w:rsidP="004B7633">
            <w:pPr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3.1.Descrierea generală a beneficiilor și  costurilor estimate ca urmare a intrării în vigoare a actului normativ </w:t>
            </w:r>
          </w:p>
        </w:tc>
        <w:tc>
          <w:tcPr>
            <w:tcW w:w="7110" w:type="dxa"/>
            <w:shd w:val="clear" w:color="auto" w:fill="auto"/>
          </w:tcPr>
          <w:p w14:paraId="7637F210" w14:textId="77777777" w:rsidR="00AA0045" w:rsidRPr="007E3619" w:rsidRDefault="00AA0045" w:rsidP="00AA0045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Clasificarea încălcărilor în cele 4 categorii (cele mai grave, foarte grave, grave și minore) va determina o </w:t>
            </w:r>
            <w:proofErr w:type="spellStart"/>
            <w:r w:rsidRPr="007E3619">
              <w:rPr>
                <w:lang w:val="ro-RO" w:eastAsia="ro-RO"/>
              </w:rPr>
              <w:t>evidenţiere</w:t>
            </w:r>
            <w:proofErr w:type="spellEnd"/>
            <w:r w:rsidRPr="007E3619">
              <w:rPr>
                <w:lang w:val="ro-RO" w:eastAsia="ro-RO"/>
              </w:rPr>
              <w:t xml:space="preserve"> foarte clară a operatorilor de transport rutier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a întreprinderilor de transport rutier în cont propriu care încalcă foarte grav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repetat </w:t>
            </w:r>
            <w:proofErr w:type="spellStart"/>
            <w:r w:rsidRPr="007E3619">
              <w:rPr>
                <w:lang w:val="ro-RO" w:eastAsia="ro-RO"/>
              </w:rPr>
              <w:t>legislaţia</w:t>
            </w:r>
            <w:proofErr w:type="spellEnd"/>
            <w:r w:rsidRPr="007E3619">
              <w:rPr>
                <w:lang w:val="ro-RO" w:eastAsia="ro-RO"/>
              </w:rPr>
              <w:t xml:space="preserve"> în domeniul transporturilor rutiere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care afectează, astfel, </w:t>
            </w:r>
            <w:proofErr w:type="spellStart"/>
            <w:r w:rsidRPr="007E3619">
              <w:rPr>
                <w:lang w:val="ro-RO" w:eastAsia="ro-RO"/>
              </w:rPr>
              <w:t>siguranţa</w:t>
            </w:r>
            <w:proofErr w:type="spellEnd"/>
            <w:r w:rsidRPr="007E3619">
              <w:rPr>
                <w:lang w:val="ro-RO" w:eastAsia="ro-RO"/>
              </w:rPr>
              <w:t xml:space="preserve"> rutieră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concurenţa</w:t>
            </w:r>
            <w:proofErr w:type="spellEnd"/>
            <w:r w:rsidRPr="007E3619">
              <w:rPr>
                <w:lang w:val="ro-RO" w:eastAsia="ro-RO"/>
              </w:rPr>
              <w:t xml:space="preserve"> loială pe </w:t>
            </w:r>
            <w:proofErr w:type="spellStart"/>
            <w:r w:rsidRPr="007E3619">
              <w:rPr>
                <w:lang w:val="ro-RO" w:eastAsia="ro-RO"/>
              </w:rPr>
              <w:t>piaţa</w:t>
            </w:r>
            <w:proofErr w:type="spellEnd"/>
            <w:r w:rsidRPr="007E3619">
              <w:rPr>
                <w:lang w:val="ro-RO" w:eastAsia="ro-RO"/>
              </w:rPr>
              <w:t xml:space="preserve"> transporturilor rutiere.</w:t>
            </w:r>
          </w:p>
          <w:p w14:paraId="5B4E4393" w14:textId="77777777" w:rsidR="00AA0045" w:rsidRPr="007E3619" w:rsidRDefault="00AA0045" w:rsidP="00AA0045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De asemenea, stabilirea clară a încălcărilor va facilita completarea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actualizarea </w:t>
            </w:r>
            <w:proofErr w:type="spellStart"/>
            <w:r w:rsidRPr="007E3619">
              <w:rPr>
                <w:lang w:val="ro-RO" w:eastAsia="ro-RO"/>
              </w:rPr>
              <w:t>informaţiilor</w:t>
            </w:r>
            <w:proofErr w:type="spellEnd"/>
            <w:r w:rsidRPr="007E3619">
              <w:rPr>
                <w:lang w:val="ro-RO" w:eastAsia="ro-RO"/>
              </w:rPr>
              <w:t xml:space="preserve"> în cadrul sistemului de evaluare a riscurilor operatorilor de transport rutier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întreprinderilor de transport rutier în cont propriu, sistem gestionat de către Inspectoratul de Stat pentru Controlul în Transportul Rutier – I.S.C.T.R.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va determina o </w:t>
            </w:r>
            <w:proofErr w:type="spellStart"/>
            <w:r w:rsidRPr="007E3619">
              <w:rPr>
                <w:lang w:val="ro-RO" w:eastAsia="ro-RO"/>
              </w:rPr>
              <w:t>creştere</w:t>
            </w:r>
            <w:proofErr w:type="spellEnd"/>
            <w:r w:rsidRPr="007E3619">
              <w:rPr>
                <w:lang w:val="ro-RO" w:eastAsia="ro-RO"/>
              </w:rPr>
              <w:t xml:space="preserve"> a gradului de </w:t>
            </w:r>
            <w:proofErr w:type="spellStart"/>
            <w:r w:rsidRPr="007E3619">
              <w:rPr>
                <w:lang w:val="ro-RO" w:eastAsia="ro-RO"/>
              </w:rPr>
              <w:t>eficienţă</w:t>
            </w:r>
            <w:proofErr w:type="spellEnd"/>
            <w:r w:rsidRPr="007E3619">
              <w:rPr>
                <w:lang w:val="ro-RO" w:eastAsia="ro-RO"/>
              </w:rPr>
              <w:t xml:space="preserve"> a </w:t>
            </w:r>
            <w:proofErr w:type="spellStart"/>
            <w:r w:rsidRPr="007E3619">
              <w:rPr>
                <w:lang w:val="ro-RO" w:eastAsia="ro-RO"/>
              </w:rPr>
              <w:t>inspecţiilor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controlului efectuat de către I.S.C.T.R., urmând a se efectua controale mai dese numai asupra celor care prezintă un grad de risc ridicat, conform acestui sistem.</w:t>
            </w:r>
          </w:p>
          <w:p w14:paraId="3EA2582F" w14:textId="648350AB" w:rsidR="004B7633" w:rsidRPr="007E3619" w:rsidRDefault="00AA0045" w:rsidP="00AA0045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Stabilirea unor amenzi </w:t>
            </w:r>
            <w:proofErr w:type="spellStart"/>
            <w:r w:rsidRPr="007E3619">
              <w:rPr>
                <w:lang w:val="ro-RO" w:eastAsia="ro-RO"/>
              </w:rPr>
              <w:t>proporţionale</w:t>
            </w:r>
            <w:proofErr w:type="spellEnd"/>
            <w:r w:rsidRPr="007E3619">
              <w:rPr>
                <w:lang w:val="ro-RO" w:eastAsia="ro-RO"/>
              </w:rPr>
              <w:t xml:space="preserve"> cu gravitatea încălcării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descurajante pentru </w:t>
            </w:r>
            <w:proofErr w:type="spellStart"/>
            <w:r w:rsidRPr="007E3619">
              <w:rPr>
                <w:lang w:val="ro-RO" w:eastAsia="ro-RO"/>
              </w:rPr>
              <w:t>contravenienţi</w:t>
            </w:r>
            <w:proofErr w:type="spellEnd"/>
            <w:r w:rsidRPr="007E3619">
              <w:rPr>
                <w:lang w:val="ro-RO" w:eastAsia="ro-RO"/>
              </w:rPr>
              <w:t xml:space="preserve">, precum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a unor măsuri administrative menite atât să prevină încălcările repetate, cât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să înlăture efectele unor asemenea încălcări, are rolul de a conduce la </w:t>
            </w:r>
            <w:proofErr w:type="spellStart"/>
            <w:r w:rsidRPr="007E3619">
              <w:rPr>
                <w:lang w:val="ro-RO" w:eastAsia="ro-RO"/>
              </w:rPr>
              <w:t>creşterea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competitivităţii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concurenţei</w:t>
            </w:r>
            <w:proofErr w:type="spellEnd"/>
            <w:r w:rsidRPr="007E3619">
              <w:rPr>
                <w:lang w:val="ro-RO" w:eastAsia="ro-RO"/>
              </w:rPr>
              <w:t xml:space="preserve"> loiale între operatorii de transport rutier, creează premisele dezvoltării unui sistem corect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coerent pe segmentul transporturilor rutiere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, în final, contribuie la </w:t>
            </w:r>
            <w:proofErr w:type="spellStart"/>
            <w:r w:rsidRPr="007E3619">
              <w:rPr>
                <w:lang w:val="ro-RO" w:eastAsia="ro-RO"/>
              </w:rPr>
              <w:t>creşterea</w:t>
            </w:r>
            <w:proofErr w:type="spellEnd"/>
            <w:r w:rsidRPr="007E3619">
              <w:rPr>
                <w:lang w:val="ro-RO" w:eastAsia="ro-RO"/>
              </w:rPr>
              <w:t xml:space="preserve"> pe ansamblu a economiei.</w:t>
            </w:r>
          </w:p>
        </w:tc>
      </w:tr>
      <w:tr w:rsidR="004B7633" w:rsidRPr="007E3619" w14:paraId="1BC51675" w14:textId="77777777" w:rsidTr="007E3619">
        <w:tc>
          <w:tcPr>
            <w:tcW w:w="2520" w:type="dxa"/>
          </w:tcPr>
          <w:p w14:paraId="139A26BD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3.2 Impactul social</w:t>
            </w:r>
            <w:r w:rsidRPr="007E3619">
              <w:rPr>
                <w:lang w:val="ro-RO" w:eastAsia="ro-RO"/>
              </w:rPr>
              <w:tab/>
            </w:r>
          </w:p>
        </w:tc>
        <w:tc>
          <w:tcPr>
            <w:tcW w:w="7110" w:type="dxa"/>
            <w:shd w:val="clear" w:color="auto" w:fill="auto"/>
          </w:tcPr>
          <w:p w14:paraId="1BCCD2F1" w14:textId="66B49896" w:rsidR="000424C0" w:rsidRPr="007E3619" w:rsidRDefault="00AA0045" w:rsidP="004B7633">
            <w:pPr>
              <w:jc w:val="both"/>
              <w:rPr>
                <w:noProof/>
                <w:lang w:val="ro-RO" w:eastAsia="ro-RO"/>
              </w:rPr>
            </w:pPr>
            <w:r w:rsidRPr="007E3619">
              <w:rPr>
                <w:noProof/>
                <w:lang w:val="ro-RO" w:eastAsia="ro-RO"/>
              </w:rPr>
              <w:t>Crearea unui cadru clar şi coerent de sancţionare a încălcărilor legislaţiei în domeniul transporturilor rutiere va determina responsabilizarea tuturor factorilor implicaţi, va conduce la creşterea siguranţei rutiere şi implicit la reducerea numărului de accidente, diminuându-se daunele materiale şi numărul de victime provocate de acestea.</w:t>
            </w:r>
          </w:p>
        </w:tc>
      </w:tr>
      <w:tr w:rsidR="004B7633" w:rsidRPr="007E3619" w14:paraId="2FBA1E5F" w14:textId="77777777" w:rsidTr="007E3619">
        <w:tc>
          <w:tcPr>
            <w:tcW w:w="2520" w:type="dxa"/>
          </w:tcPr>
          <w:p w14:paraId="72FB551A" w14:textId="705088E7" w:rsidR="004B7633" w:rsidRPr="007E3619" w:rsidRDefault="004B7633" w:rsidP="004B7633">
            <w:pPr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3.3. Impactul asupra drepturilor și libertăților fundamentale ale omului </w:t>
            </w:r>
          </w:p>
        </w:tc>
        <w:tc>
          <w:tcPr>
            <w:tcW w:w="7110" w:type="dxa"/>
            <w:shd w:val="clear" w:color="auto" w:fill="auto"/>
          </w:tcPr>
          <w:p w14:paraId="2EFCB50A" w14:textId="77777777" w:rsidR="004B7633" w:rsidRPr="007E3619" w:rsidRDefault="004B7633" w:rsidP="004B7633">
            <w:pPr>
              <w:jc w:val="both"/>
              <w:rPr>
                <w:noProof/>
                <w:lang w:val="ro-RO" w:eastAsia="ro-RO"/>
              </w:rPr>
            </w:pPr>
            <w:r w:rsidRPr="007E3619">
              <w:rPr>
                <w:noProof/>
                <w:lang w:val="ro-RO" w:eastAsia="ro-RO"/>
              </w:rPr>
              <w:t>Proiectul de act normativ nu are impact în acest domeniu</w:t>
            </w:r>
          </w:p>
        </w:tc>
      </w:tr>
      <w:tr w:rsidR="004B7633" w:rsidRPr="007E3619" w14:paraId="52B99282" w14:textId="77777777" w:rsidTr="007E3619">
        <w:tc>
          <w:tcPr>
            <w:tcW w:w="2520" w:type="dxa"/>
          </w:tcPr>
          <w:p w14:paraId="122BDEE8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3.4.</w:t>
            </w:r>
            <w:r w:rsidRPr="007E3619">
              <w:rPr>
                <w:color w:val="000000"/>
                <w:lang w:val="ro-RO" w:eastAsia="ro-RO"/>
              </w:rPr>
              <w:t>Impactul macroeconomic</w:t>
            </w:r>
          </w:p>
        </w:tc>
        <w:tc>
          <w:tcPr>
            <w:tcW w:w="7110" w:type="dxa"/>
            <w:shd w:val="clear" w:color="auto" w:fill="auto"/>
          </w:tcPr>
          <w:p w14:paraId="38132D31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3795F618" w14:textId="77777777" w:rsidTr="007E3619">
        <w:tc>
          <w:tcPr>
            <w:tcW w:w="2520" w:type="dxa"/>
          </w:tcPr>
          <w:p w14:paraId="343659AC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3.4.1.Impactul asupra economiei și asupra principalilor indicatori macroeconomici</w:t>
            </w:r>
          </w:p>
        </w:tc>
        <w:tc>
          <w:tcPr>
            <w:tcW w:w="7110" w:type="dxa"/>
            <w:shd w:val="clear" w:color="auto" w:fill="auto"/>
          </w:tcPr>
          <w:p w14:paraId="241AEA29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Proiectul de act normativ nu are impact în acest domeniu</w:t>
            </w:r>
          </w:p>
        </w:tc>
      </w:tr>
      <w:tr w:rsidR="004B7633" w:rsidRPr="007E3619" w14:paraId="445F15C9" w14:textId="77777777" w:rsidTr="007E3619">
        <w:tc>
          <w:tcPr>
            <w:tcW w:w="2520" w:type="dxa"/>
          </w:tcPr>
          <w:p w14:paraId="0F0ED056" w14:textId="127F771B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lastRenderedPageBreak/>
              <w:t xml:space="preserve">3.4.2.Impactul asupra mediului concurențial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domeniului ajutoarelor de stat</w:t>
            </w:r>
            <w:r w:rsidRPr="007E3619">
              <w:rPr>
                <w:lang w:val="ro-RO" w:eastAsia="ro-RO"/>
              </w:rPr>
              <w:tab/>
            </w:r>
          </w:p>
        </w:tc>
        <w:tc>
          <w:tcPr>
            <w:tcW w:w="7110" w:type="dxa"/>
            <w:shd w:val="clear" w:color="auto" w:fill="auto"/>
          </w:tcPr>
          <w:p w14:paraId="334DA27B" w14:textId="00D16B41" w:rsidR="004B7633" w:rsidRPr="007E3619" w:rsidRDefault="00AA0045" w:rsidP="00F301FF">
            <w:pPr>
              <w:jc w:val="both"/>
              <w:rPr>
                <w:noProof/>
                <w:lang w:val="ro-RO" w:eastAsia="ro-RO"/>
              </w:rPr>
            </w:pPr>
            <w:r w:rsidRPr="007E3619">
              <w:rPr>
                <w:noProof/>
                <w:lang w:val="ro-RO" w:eastAsia="ro-RO"/>
              </w:rPr>
              <w:t>Proiectul de act normativ nu are impact în acest domeniu</w:t>
            </w:r>
            <w:r w:rsidR="00F301FF" w:rsidRPr="007E3619">
              <w:rPr>
                <w:noProof/>
                <w:lang w:val="ro-RO" w:eastAsia="ro-RO"/>
              </w:rPr>
              <w:t xml:space="preserve">  </w:t>
            </w:r>
          </w:p>
        </w:tc>
      </w:tr>
      <w:tr w:rsidR="004B7633" w:rsidRPr="007E3619" w14:paraId="0AC655C0" w14:textId="77777777" w:rsidTr="007E3619">
        <w:tc>
          <w:tcPr>
            <w:tcW w:w="2520" w:type="dxa"/>
          </w:tcPr>
          <w:p w14:paraId="0ED39657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3.5.</w:t>
            </w:r>
            <w:r w:rsidRPr="007E3619">
              <w:rPr>
                <w:color w:val="000000"/>
                <w:lang w:val="ro-RO" w:eastAsia="ro-RO"/>
              </w:rPr>
              <w:t>Impactul asupra mediului de afaceri</w:t>
            </w:r>
          </w:p>
        </w:tc>
        <w:tc>
          <w:tcPr>
            <w:tcW w:w="7110" w:type="dxa"/>
            <w:shd w:val="clear" w:color="auto" w:fill="auto"/>
          </w:tcPr>
          <w:p w14:paraId="47CCBB75" w14:textId="77777777" w:rsidR="00AA0045" w:rsidRPr="007E3619" w:rsidRDefault="00AA0045" w:rsidP="00AA0045">
            <w:pPr>
              <w:tabs>
                <w:tab w:val="left" w:pos="851"/>
              </w:tabs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Întărirea </w:t>
            </w:r>
            <w:proofErr w:type="spellStart"/>
            <w:r w:rsidRPr="007E3619">
              <w:rPr>
                <w:lang w:val="ro-RO" w:eastAsia="ro-RO"/>
              </w:rPr>
              <w:t>activităţii</w:t>
            </w:r>
            <w:proofErr w:type="spellEnd"/>
            <w:r w:rsidRPr="007E3619">
              <w:rPr>
                <w:lang w:val="ro-RO" w:eastAsia="ro-RO"/>
              </w:rPr>
              <w:t xml:space="preserve"> de control asupra </w:t>
            </w:r>
            <w:proofErr w:type="spellStart"/>
            <w:r w:rsidRPr="007E3619">
              <w:rPr>
                <w:lang w:val="ro-RO" w:eastAsia="ro-RO"/>
              </w:rPr>
              <w:t>legalităţii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desfăşurării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activităţii</w:t>
            </w:r>
            <w:proofErr w:type="spellEnd"/>
            <w:r w:rsidRPr="007E3619">
              <w:rPr>
                <w:lang w:val="ro-RO" w:eastAsia="ro-RO"/>
              </w:rPr>
              <w:t xml:space="preserve"> de  transport rutier, </w:t>
            </w:r>
            <w:proofErr w:type="spellStart"/>
            <w:r w:rsidRPr="007E3619">
              <w:rPr>
                <w:lang w:val="ro-RO" w:eastAsia="ro-RO"/>
              </w:rPr>
              <w:t>activităţii</w:t>
            </w:r>
            <w:proofErr w:type="spellEnd"/>
            <w:r w:rsidRPr="007E3619">
              <w:rPr>
                <w:lang w:val="ro-RO" w:eastAsia="ro-RO"/>
              </w:rPr>
              <w:t xml:space="preserve"> conexe transportului rutier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</w:t>
            </w:r>
            <w:proofErr w:type="spellStart"/>
            <w:r w:rsidRPr="007E3619">
              <w:rPr>
                <w:lang w:val="ro-RO" w:eastAsia="ro-RO"/>
              </w:rPr>
              <w:t>activităţii</w:t>
            </w:r>
            <w:proofErr w:type="spellEnd"/>
            <w:r w:rsidRPr="007E3619">
              <w:rPr>
                <w:lang w:val="ro-RO" w:eastAsia="ro-RO"/>
              </w:rPr>
              <w:t xml:space="preserve"> de pregătire a persoanelor în vederea </w:t>
            </w:r>
            <w:proofErr w:type="spellStart"/>
            <w:r w:rsidRPr="007E3619">
              <w:rPr>
                <w:lang w:val="ro-RO" w:eastAsia="ro-RO"/>
              </w:rPr>
              <w:t>obţinerii</w:t>
            </w:r>
            <w:proofErr w:type="spellEnd"/>
            <w:r w:rsidRPr="007E3619">
              <w:rPr>
                <w:lang w:val="ro-RO" w:eastAsia="ro-RO"/>
              </w:rPr>
              <w:t xml:space="preserve"> permisului de conducere, va conduce la:</w:t>
            </w:r>
          </w:p>
          <w:p w14:paraId="14405CF6" w14:textId="77777777" w:rsidR="00AA0045" w:rsidRPr="007E3619" w:rsidRDefault="00AA0045" w:rsidP="00AA0045">
            <w:pPr>
              <w:tabs>
                <w:tab w:val="left" w:pos="851"/>
              </w:tabs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-</w:t>
            </w:r>
            <w:r w:rsidRPr="007E3619">
              <w:rPr>
                <w:lang w:val="ro-RO" w:eastAsia="ro-RO"/>
              </w:rPr>
              <w:tab/>
            </w:r>
            <w:proofErr w:type="spellStart"/>
            <w:r w:rsidRPr="007E3619">
              <w:rPr>
                <w:lang w:val="ro-RO" w:eastAsia="ro-RO"/>
              </w:rPr>
              <w:t>însănătoşirea</w:t>
            </w:r>
            <w:proofErr w:type="spellEnd"/>
            <w:r w:rsidRPr="007E3619">
              <w:rPr>
                <w:lang w:val="ro-RO" w:eastAsia="ro-RO"/>
              </w:rPr>
              <w:t xml:space="preserve"> mediului de afaceri în aceste domenii de activitate;</w:t>
            </w:r>
          </w:p>
          <w:p w14:paraId="663B44AC" w14:textId="043AFA99" w:rsidR="004B7633" w:rsidRPr="007E3619" w:rsidRDefault="00AA0045" w:rsidP="00AA0045">
            <w:pPr>
              <w:tabs>
                <w:tab w:val="left" w:pos="851"/>
              </w:tabs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-</w:t>
            </w:r>
            <w:r w:rsidRPr="007E3619">
              <w:rPr>
                <w:lang w:val="ro-RO" w:eastAsia="ro-RO"/>
              </w:rPr>
              <w:tab/>
              <w:t xml:space="preserve">asigurarea unui mediu </w:t>
            </w:r>
            <w:proofErr w:type="spellStart"/>
            <w:r w:rsidRPr="007E3619">
              <w:rPr>
                <w:lang w:val="ro-RO" w:eastAsia="ro-RO"/>
              </w:rPr>
              <w:t>concurenţial</w:t>
            </w:r>
            <w:proofErr w:type="spellEnd"/>
            <w:r w:rsidRPr="007E3619">
              <w:rPr>
                <w:lang w:val="ro-RO" w:eastAsia="ro-RO"/>
              </w:rPr>
              <w:t xml:space="preserve"> corect, prin reducerea evaziunii fiscale </w:t>
            </w:r>
            <w:proofErr w:type="spellStart"/>
            <w:r w:rsidRPr="007E3619">
              <w:rPr>
                <w:lang w:val="ro-RO" w:eastAsia="ro-RO"/>
              </w:rPr>
              <w:t>şi</w:t>
            </w:r>
            <w:proofErr w:type="spellEnd"/>
            <w:r w:rsidRPr="007E3619">
              <w:rPr>
                <w:lang w:val="ro-RO" w:eastAsia="ro-RO"/>
              </w:rPr>
              <w:t xml:space="preserve"> implicit a </w:t>
            </w:r>
            <w:proofErr w:type="spellStart"/>
            <w:r w:rsidRPr="007E3619">
              <w:rPr>
                <w:lang w:val="ro-RO" w:eastAsia="ro-RO"/>
              </w:rPr>
              <w:t>concurenţei</w:t>
            </w:r>
            <w:proofErr w:type="spellEnd"/>
            <w:r w:rsidRPr="007E3619">
              <w:rPr>
                <w:lang w:val="ro-RO" w:eastAsia="ro-RO"/>
              </w:rPr>
              <w:t xml:space="preserve"> neloiale în respectivele domenii de activitate.</w:t>
            </w:r>
          </w:p>
        </w:tc>
      </w:tr>
      <w:tr w:rsidR="004B7633" w:rsidRPr="007E3619" w14:paraId="2100AD13" w14:textId="77777777" w:rsidTr="007E3619">
        <w:tc>
          <w:tcPr>
            <w:tcW w:w="2520" w:type="dxa"/>
          </w:tcPr>
          <w:p w14:paraId="75D4635D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3.6.Impactul asupra mediului înconjurător</w:t>
            </w:r>
          </w:p>
        </w:tc>
        <w:tc>
          <w:tcPr>
            <w:tcW w:w="7110" w:type="dxa"/>
            <w:shd w:val="clear" w:color="auto" w:fill="auto"/>
          </w:tcPr>
          <w:p w14:paraId="6FF4E4F6" w14:textId="3EE290BA" w:rsidR="004B7633" w:rsidRPr="007E3619" w:rsidRDefault="00AA0045" w:rsidP="00676F27">
            <w:pPr>
              <w:tabs>
                <w:tab w:val="left" w:pos="851"/>
              </w:tabs>
              <w:jc w:val="both"/>
              <w:rPr>
                <w:iCs/>
                <w:lang w:val="ro-RO" w:eastAsia="ro-RO"/>
              </w:rPr>
            </w:pPr>
            <w:r w:rsidRPr="007E3619">
              <w:rPr>
                <w:iCs/>
                <w:lang w:val="ro-RO" w:eastAsia="ro-RO"/>
              </w:rPr>
              <w:t>Proiectul de act normativ nu are impact în acest domeniu</w:t>
            </w:r>
            <w:r w:rsidR="00F301FF" w:rsidRPr="007E3619">
              <w:rPr>
                <w:iCs/>
                <w:lang w:val="ro-RO" w:eastAsia="ro-RO"/>
              </w:rPr>
              <w:t> </w:t>
            </w:r>
            <w:r w:rsidR="00676F27" w:rsidRPr="007E3619">
              <w:rPr>
                <w:iCs/>
                <w:lang w:val="ro-RO" w:eastAsia="ro-RO"/>
              </w:rPr>
              <w:t xml:space="preserve"> </w:t>
            </w:r>
          </w:p>
        </w:tc>
      </w:tr>
      <w:tr w:rsidR="004B7633" w:rsidRPr="007E3619" w14:paraId="61A4612D" w14:textId="77777777" w:rsidTr="007E3619">
        <w:tc>
          <w:tcPr>
            <w:tcW w:w="2520" w:type="dxa"/>
          </w:tcPr>
          <w:p w14:paraId="31FC878C" w14:textId="77777777" w:rsidR="004B7633" w:rsidRPr="007E3619" w:rsidRDefault="004B7633" w:rsidP="004B7633">
            <w:pPr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3.7. Evaluarea costurilor și beneficiilor din perspectiva inovării și digitalizării </w:t>
            </w:r>
          </w:p>
        </w:tc>
        <w:tc>
          <w:tcPr>
            <w:tcW w:w="7110" w:type="dxa"/>
            <w:shd w:val="clear" w:color="auto" w:fill="auto"/>
          </w:tcPr>
          <w:p w14:paraId="3FE8D0F0" w14:textId="77777777" w:rsidR="004B7633" w:rsidRPr="007E3619" w:rsidRDefault="004B7633" w:rsidP="004B7633">
            <w:pPr>
              <w:tabs>
                <w:tab w:val="left" w:pos="851"/>
              </w:tabs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cazul.</w:t>
            </w:r>
          </w:p>
        </w:tc>
      </w:tr>
      <w:tr w:rsidR="004B7633" w:rsidRPr="007E3619" w14:paraId="7D8E3937" w14:textId="77777777" w:rsidTr="007E3619">
        <w:tc>
          <w:tcPr>
            <w:tcW w:w="2520" w:type="dxa"/>
          </w:tcPr>
          <w:p w14:paraId="7A30DAF4" w14:textId="77777777" w:rsidR="004B7633" w:rsidRPr="007E3619" w:rsidRDefault="004B7633" w:rsidP="004B7633">
            <w:pPr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3.8. Evaluarea costurilor și beneficiilor din perspectiva dezvoltării durabile </w:t>
            </w:r>
          </w:p>
        </w:tc>
        <w:tc>
          <w:tcPr>
            <w:tcW w:w="7110" w:type="dxa"/>
            <w:shd w:val="clear" w:color="auto" w:fill="auto"/>
          </w:tcPr>
          <w:p w14:paraId="3F4CBA27" w14:textId="77777777" w:rsidR="004B7633" w:rsidRPr="007E3619" w:rsidRDefault="004B7633" w:rsidP="004B7633">
            <w:pPr>
              <w:spacing w:after="120"/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</w:t>
            </w:r>
          </w:p>
        </w:tc>
      </w:tr>
      <w:tr w:rsidR="004B7633" w:rsidRPr="007E3619" w14:paraId="39D4C22F" w14:textId="77777777" w:rsidTr="007E3619">
        <w:tc>
          <w:tcPr>
            <w:tcW w:w="2520" w:type="dxa"/>
          </w:tcPr>
          <w:p w14:paraId="5435E505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3.9. Alte informații</w:t>
            </w:r>
          </w:p>
        </w:tc>
        <w:tc>
          <w:tcPr>
            <w:tcW w:w="7110" w:type="dxa"/>
          </w:tcPr>
          <w:p w14:paraId="329FDC57" w14:textId="77777777" w:rsidR="004B7633" w:rsidRPr="007E3619" w:rsidRDefault="004B7633" w:rsidP="004B7633">
            <w:pPr>
              <w:spacing w:after="120"/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au fost identificate.</w:t>
            </w:r>
          </w:p>
        </w:tc>
      </w:tr>
    </w:tbl>
    <w:p w14:paraId="6917CCDF" w14:textId="77777777" w:rsidR="004B7633" w:rsidRPr="007E3619" w:rsidRDefault="004B7633">
      <w:pPr>
        <w:jc w:val="center"/>
        <w:rPr>
          <w:b/>
          <w:lang w:val="ro-RO"/>
        </w:rPr>
      </w:pPr>
    </w:p>
    <w:p w14:paraId="2873D92E" w14:textId="77777777" w:rsidR="004B7633" w:rsidRPr="007E3619" w:rsidRDefault="004B7633" w:rsidP="004B7633">
      <w:pPr>
        <w:jc w:val="center"/>
        <w:rPr>
          <w:b/>
          <w:lang w:val="ro-RO" w:eastAsia="ro-RO"/>
        </w:rPr>
      </w:pPr>
      <w:r w:rsidRPr="007E3619">
        <w:rPr>
          <w:b/>
          <w:lang w:val="ro-RO" w:eastAsia="ro-RO"/>
        </w:rPr>
        <w:t>Secțiunea a 4-a</w:t>
      </w:r>
    </w:p>
    <w:p w14:paraId="6FC1BDF5" w14:textId="0F35685F" w:rsidR="007E3619" w:rsidRDefault="004B7633" w:rsidP="00DA3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o-RO"/>
        </w:rPr>
      </w:pPr>
      <w:r w:rsidRPr="007E3619">
        <w:rPr>
          <w:b/>
          <w:lang w:val="ro-RO"/>
        </w:rPr>
        <w:t xml:space="preserve"> Impactul financiar asupra bugetului general consolidat, atât pe termen scurt, pentru anul curent, cât şi pe termen lung (pe 5 ani) ), inclusiv informații cu privire la cheltuieli și venituri</w:t>
      </w:r>
    </w:p>
    <w:p w14:paraId="0EF1CEC5" w14:textId="77777777" w:rsidR="00DA351E" w:rsidRPr="007E3619" w:rsidRDefault="00DA351E" w:rsidP="00DA3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3"/>
        <w:gridCol w:w="787"/>
        <w:gridCol w:w="182"/>
        <w:gridCol w:w="851"/>
        <w:gridCol w:w="850"/>
        <w:gridCol w:w="63"/>
        <w:gridCol w:w="1080"/>
        <w:gridCol w:w="810"/>
        <w:gridCol w:w="180"/>
        <w:gridCol w:w="1147"/>
      </w:tblGrid>
      <w:tr w:rsidR="004B7633" w:rsidRPr="007E3619" w14:paraId="08A887E9" w14:textId="77777777" w:rsidTr="007E3619">
        <w:trPr>
          <w:trHeight w:val="240"/>
        </w:trPr>
        <w:tc>
          <w:tcPr>
            <w:tcW w:w="9625" w:type="dxa"/>
            <w:gridSpan w:val="11"/>
          </w:tcPr>
          <w:p w14:paraId="0BEC709A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lang w:val="ro-RO"/>
              </w:rPr>
            </w:pPr>
            <w:r w:rsidRPr="007E3619">
              <w:rPr>
                <w:lang w:val="ro-RO"/>
              </w:rPr>
              <w:t xml:space="preserve">                                           -în mii lei (RON)-</w:t>
            </w:r>
          </w:p>
        </w:tc>
      </w:tr>
      <w:tr w:rsidR="004B7633" w:rsidRPr="007E3619" w14:paraId="464273B8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44729F74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Indicatori</w:t>
            </w:r>
          </w:p>
        </w:tc>
        <w:tc>
          <w:tcPr>
            <w:tcW w:w="992" w:type="dxa"/>
            <w:gridSpan w:val="3"/>
          </w:tcPr>
          <w:p w14:paraId="7C5C0C9D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Anul curent</w:t>
            </w:r>
          </w:p>
        </w:tc>
        <w:tc>
          <w:tcPr>
            <w:tcW w:w="3654" w:type="dxa"/>
            <w:gridSpan w:val="5"/>
          </w:tcPr>
          <w:p w14:paraId="725CDD51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Următorii 4 ani</w:t>
            </w:r>
          </w:p>
        </w:tc>
        <w:tc>
          <w:tcPr>
            <w:tcW w:w="1327" w:type="dxa"/>
            <w:gridSpan w:val="2"/>
          </w:tcPr>
          <w:p w14:paraId="6FA3570C" w14:textId="77777777" w:rsidR="004B7633" w:rsidRPr="007E3619" w:rsidRDefault="004B7633" w:rsidP="004B7633">
            <w:pPr>
              <w:jc w:val="center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Media pe</w:t>
            </w:r>
          </w:p>
          <w:p w14:paraId="684F537B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5 ani</w:t>
            </w:r>
          </w:p>
        </w:tc>
      </w:tr>
      <w:tr w:rsidR="004B7633" w:rsidRPr="007E3619" w14:paraId="4EDB56A7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7E5E321B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EB534F5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BDA4A7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6241B4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4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</w:tcPr>
          <w:p w14:paraId="4A7F8895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A78F14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6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</w:tcPr>
          <w:p w14:paraId="4C28A8AA" w14:textId="77777777" w:rsidR="004B7633" w:rsidRPr="007E3619" w:rsidRDefault="004B7633" w:rsidP="004B7633">
            <w:pPr>
              <w:jc w:val="center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7</w:t>
            </w:r>
          </w:p>
        </w:tc>
      </w:tr>
      <w:tr w:rsidR="004B7633" w:rsidRPr="007E3619" w14:paraId="1173E036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4F9816CA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ro-RO"/>
              </w:rPr>
            </w:pPr>
            <w:r w:rsidRPr="007E3619">
              <w:rPr>
                <w:color w:val="000000"/>
                <w:lang w:val="ro-RO"/>
              </w:rPr>
              <w:t>4.1 Modificări ale veniturilor bugetare, plus/minus din care:</w:t>
            </w:r>
          </w:p>
        </w:tc>
        <w:tc>
          <w:tcPr>
            <w:tcW w:w="5973" w:type="dxa"/>
            <w:gridSpan w:val="10"/>
            <w:tcBorders>
              <w:bottom w:val="nil"/>
            </w:tcBorders>
          </w:tcPr>
          <w:p w14:paraId="18AF2039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Nu generează influențe financiare asupra bugetului general consolidat </w:t>
            </w:r>
          </w:p>
        </w:tc>
      </w:tr>
      <w:tr w:rsidR="004B7633" w:rsidRPr="007E3619" w14:paraId="328638FE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256D1F42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1.buget de stat, din acesta:</w:t>
            </w:r>
          </w:p>
          <w:p w14:paraId="6654DDD2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1.impozit pe profit</w:t>
            </w:r>
          </w:p>
          <w:p w14:paraId="60CEBFFE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2.impozit pe venit </w:t>
            </w:r>
          </w:p>
        </w:tc>
        <w:tc>
          <w:tcPr>
            <w:tcW w:w="5973" w:type="dxa"/>
            <w:gridSpan w:val="10"/>
            <w:tcBorders>
              <w:top w:val="nil"/>
              <w:bottom w:val="nil"/>
            </w:tcBorders>
          </w:tcPr>
          <w:p w14:paraId="76A85307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715D9AA9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62452F14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1.bugete locale</w:t>
            </w:r>
          </w:p>
          <w:p w14:paraId="132C050F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 impozit pe profit</w:t>
            </w:r>
          </w:p>
        </w:tc>
        <w:tc>
          <w:tcPr>
            <w:tcW w:w="5973" w:type="dxa"/>
            <w:gridSpan w:val="10"/>
            <w:tcBorders>
              <w:top w:val="nil"/>
              <w:bottom w:val="nil"/>
            </w:tcBorders>
          </w:tcPr>
          <w:p w14:paraId="1ACACE6B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713E6434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2F0343A6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1.bugetul asigurărilor sociale de stat:</w:t>
            </w:r>
          </w:p>
          <w:p w14:paraId="2B4713B1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1.contribuții de asigurări </w:t>
            </w:r>
          </w:p>
        </w:tc>
        <w:tc>
          <w:tcPr>
            <w:tcW w:w="5973" w:type="dxa"/>
            <w:gridSpan w:val="10"/>
            <w:tcBorders>
              <w:top w:val="nil"/>
              <w:bottom w:val="nil"/>
            </w:tcBorders>
          </w:tcPr>
          <w:p w14:paraId="60CB45B7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487EA2D2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01972039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1.alte tipuri de venituri ( se va menționa natura acestora)</w:t>
            </w:r>
          </w:p>
        </w:tc>
        <w:tc>
          <w:tcPr>
            <w:tcW w:w="5973" w:type="dxa"/>
            <w:gridSpan w:val="10"/>
            <w:tcBorders>
              <w:top w:val="nil"/>
              <w:bottom w:val="single" w:sz="4" w:space="0" w:color="auto"/>
            </w:tcBorders>
          </w:tcPr>
          <w:p w14:paraId="1DBBCB9A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191A0FED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3D392965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4.2. Modificări ale cheltuielilor </w:t>
            </w:r>
          </w:p>
          <w:p w14:paraId="54F5D46B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    bugetare, plus/minus, </w:t>
            </w:r>
          </w:p>
          <w:p w14:paraId="75E2E6B5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    din care:                                      </w:t>
            </w:r>
          </w:p>
        </w:tc>
        <w:tc>
          <w:tcPr>
            <w:tcW w:w="5973" w:type="dxa"/>
            <w:gridSpan w:val="10"/>
            <w:tcBorders>
              <w:bottom w:val="nil"/>
            </w:tcBorders>
          </w:tcPr>
          <w:p w14:paraId="1CB9A5CB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generează influențe financiare asupra bugetului general consolidat</w:t>
            </w:r>
          </w:p>
        </w:tc>
      </w:tr>
      <w:tr w:rsidR="004B7633" w:rsidRPr="007E3619" w14:paraId="1C8BCA27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17E1ACE6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1.buget de stat, din acesta:</w:t>
            </w:r>
          </w:p>
          <w:p w14:paraId="47B2B711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lastRenderedPageBreak/>
              <w:t>1.cheltuieli de personal</w:t>
            </w:r>
          </w:p>
          <w:p w14:paraId="2E25D3E7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2.bunuri și servicii</w:t>
            </w:r>
          </w:p>
        </w:tc>
        <w:tc>
          <w:tcPr>
            <w:tcW w:w="5973" w:type="dxa"/>
            <w:gridSpan w:val="10"/>
            <w:tcBorders>
              <w:top w:val="nil"/>
              <w:bottom w:val="nil"/>
            </w:tcBorders>
          </w:tcPr>
          <w:p w14:paraId="7C3F1EC1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370657EE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39D6ED58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1.bugete locale:</w:t>
            </w:r>
          </w:p>
          <w:p w14:paraId="055C2522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1.cheltuieli de personale</w:t>
            </w:r>
          </w:p>
          <w:p w14:paraId="3B094CDD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2.bunuri și servicii</w:t>
            </w:r>
          </w:p>
        </w:tc>
        <w:tc>
          <w:tcPr>
            <w:tcW w:w="5973" w:type="dxa"/>
            <w:gridSpan w:val="10"/>
            <w:tcBorders>
              <w:top w:val="nil"/>
              <w:bottom w:val="nil"/>
            </w:tcBorders>
          </w:tcPr>
          <w:p w14:paraId="6ED68702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2F35DBA8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09681736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1.bugetul asigurărilor sociale de stat :</w:t>
            </w:r>
          </w:p>
          <w:p w14:paraId="794F2C9C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>1.cheltuieli de personal</w:t>
            </w:r>
          </w:p>
          <w:p w14:paraId="6D6F4D23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2.bunuri și servicii </w:t>
            </w:r>
          </w:p>
        </w:tc>
        <w:tc>
          <w:tcPr>
            <w:tcW w:w="5973" w:type="dxa"/>
            <w:gridSpan w:val="10"/>
            <w:tcBorders>
              <w:top w:val="nil"/>
              <w:bottom w:val="nil"/>
            </w:tcBorders>
          </w:tcPr>
          <w:p w14:paraId="61EF2A47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6F8A93F5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40388B28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1.alte tipuri de cheltuieli </w:t>
            </w:r>
          </w:p>
          <w:p w14:paraId="543F502D" w14:textId="77777777" w:rsidR="004B7633" w:rsidRPr="007E3619" w:rsidRDefault="004B7633" w:rsidP="004B7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o-RO"/>
              </w:rPr>
            </w:pPr>
            <w:r w:rsidRPr="007E3619">
              <w:rPr>
                <w:color w:val="000000"/>
                <w:lang w:val="ro-RO"/>
              </w:rPr>
              <w:t xml:space="preserve">(se va menționa natura acestora) </w:t>
            </w:r>
          </w:p>
        </w:tc>
        <w:tc>
          <w:tcPr>
            <w:tcW w:w="5973" w:type="dxa"/>
            <w:gridSpan w:val="10"/>
            <w:tcBorders>
              <w:top w:val="nil"/>
            </w:tcBorders>
          </w:tcPr>
          <w:p w14:paraId="1BF3B59A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</w:tr>
      <w:tr w:rsidR="004B7633" w:rsidRPr="007E3619" w14:paraId="0FBD9053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325B14FE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4.3. </w:t>
            </w:r>
            <w:r w:rsidRPr="007E3619">
              <w:rPr>
                <w:color w:val="000000"/>
                <w:lang w:val="ro-RO" w:eastAsia="ro-RO"/>
              </w:rPr>
              <w:t xml:space="preserve">Impact financiar, </w:t>
            </w:r>
          </w:p>
          <w:p w14:paraId="6B4118D5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plus/minus, din care:</w:t>
            </w:r>
          </w:p>
          <w:p w14:paraId="3B6284F0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</w:p>
        </w:tc>
        <w:tc>
          <w:tcPr>
            <w:tcW w:w="5973" w:type="dxa"/>
            <w:gridSpan w:val="10"/>
          </w:tcPr>
          <w:p w14:paraId="4D92B1D8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subiect.</w:t>
            </w:r>
          </w:p>
        </w:tc>
      </w:tr>
      <w:tr w:rsidR="004B7633" w:rsidRPr="007E3619" w14:paraId="2A260EC3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7656865B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1.buget de stat</w:t>
            </w:r>
          </w:p>
        </w:tc>
        <w:tc>
          <w:tcPr>
            <w:tcW w:w="810" w:type="dxa"/>
            <w:gridSpan w:val="2"/>
          </w:tcPr>
          <w:p w14:paraId="706D58D3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1033" w:type="dxa"/>
            <w:gridSpan w:val="2"/>
          </w:tcPr>
          <w:p w14:paraId="2DF59BF4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913" w:type="dxa"/>
            <w:gridSpan w:val="2"/>
          </w:tcPr>
          <w:p w14:paraId="426C9883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1080" w:type="dxa"/>
          </w:tcPr>
          <w:p w14:paraId="5B23AE42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990" w:type="dxa"/>
            <w:gridSpan w:val="2"/>
          </w:tcPr>
          <w:p w14:paraId="02E0FD8F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1147" w:type="dxa"/>
          </w:tcPr>
          <w:p w14:paraId="0C6C19CA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</w:tr>
      <w:tr w:rsidR="004B7633" w:rsidRPr="007E3619" w14:paraId="029717E1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1111180A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2.bugete locale </w:t>
            </w:r>
          </w:p>
        </w:tc>
        <w:tc>
          <w:tcPr>
            <w:tcW w:w="810" w:type="dxa"/>
            <w:gridSpan w:val="2"/>
          </w:tcPr>
          <w:p w14:paraId="57D3ED9E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1033" w:type="dxa"/>
            <w:gridSpan w:val="2"/>
          </w:tcPr>
          <w:p w14:paraId="784FAE82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913" w:type="dxa"/>
            <w:gridSpan w:val="2"/>
          </w:tcPr>
          <w:p w14:paraId="23E6AD29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1080" w:type="dxa"/>
          </w:tcPr>
          <w:p w14:paraId="638DC227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990" w:type="dxa"/>
            <w:gridSpan w:val="2"/>
          </w:tcPr>
          <w:p w14:paraId="505E3E37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  <w:tc>
          <w:tcPr>
            <w:tcW w:w="1147" w:type="dxa"/>
          </w:tcPr>
          <w:p w14:paraId="4A859AF9" w14:textId="77777777" w:rsidR="004B7633" w:rsidRPr="007E3619" w:rsidRDefault="004B7633" w:rsidP="004B7633">
            <w:pPr>
              <w:jc w:val="both"/>
              <w:rPr>
                <w:color w:val="000000"/>
                <w:lang w:val="ro-RO" w:eastAsia="ro-RO"/>
              </w:rPr>
            </w:pPr>
          </w:p>
        </w:tc>
      </w:tr>
      <w:tr w:rsidR="004B7633" w:rsidRPr="007E3619" w14:paraId="1149C434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797BC8E9" w14:textId="77777777" w:rsidR="004B7633" w:rsidRPr="007E3619" w:rsidRDefault="004B7633" w:rsidP="004B7633">
            <w:pPr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4.4.Propuneri pentru acoperirea creşterii cheltuielilor     bugetare</w:t>
            </w:r>
          </w:p>
        </w:tc>
        <w:tc>
          <w:tcPr>
            <w:tcW w:w="5973" w:type="dxa"/>
            <w:gridSpan w:val="10"/>
          </w:tcPr>
          <w:p w14:paraId="1CD77900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subiect.</w:t>
            </w:r>
          </w:p>
        </w:tc>
      </w:tr>
      <w:tr w:rsidR="004B7633" w:rsidRPr="007E3619" w14:paraId="30F736D4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55F8B224" w14:textId="77777777" w:rsidR="004B7633" w:rsidRPr="007E3619" w:rsidRDefault="004B7633" w:rsidP="004B7633">
            <w:pPr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4.5. Propuneri pentru a compensa reducerea veniturilor </w:t>
            </w:r>
          </w:p>
          <w:p w14:paraId="40D6F235" w14:textId="77777777" w:rsidR="004B7633" w:rsidRPr="007E3619" w:rsidRDefault="004B7633" w:rsidP="004B7633">
            <w:pPr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bugetare</w:t>
            </w:r>
          </w:p>
        </w:tc>
        <w:tc>
          <w:tcPr>
            <w:tcW w:w="5973" w:type="dxa"/>
            <w:gridSpan w:val="10"/>
          </w:tcPr>
          <w:p w14:paraId="1116C102" w14:textId="77777777" w:rsidR="004B7633" w:rsidRPr="007E3619" w:rsidRDefault="004B7633" w:rsidP="004B7633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subiect.</w:t>
            </w:r>
          </w:p>
        </w:tc>
      </w:tr>
      <w:tr w:rsidR="004B7633" w:rsidRPr="007E3619" w14:paraId="456BD726" w14:textId="77777777" w:rsidTr="007E3619">
        <w:tblPrEx>
          <w:tblLook w:val="01E0" w:firstRow="1" w:lastRow="1" w:firstColumn="1" w:lastColumn="1" w:noHBand="0" w:noVBand="0"/>
        </w:tblPrEx>
        <w:tc>
          <w:tcPr>
            <w:tcW w:w="3652" w:type="dxa"/>
          </w:tcPr>
          <w:p w14:paraId="16FF3956" w14:textId="77777777" w:rsidR="004B7633" w:rsidRPr="007E3619" w:rsidRDefault="004B7633" w:rsidP="004B7633">
            <w:pPr>
              <w:keepNext/>
              <w:keepLines/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4.6. </w:t>
            </w:r>
            <w:r w:rsidRPr="007E3619">
              <w:rPr>
                <w:color w:val="000000"/>
                <w:lang w:val="ro-RO" w:eastAsia="ro-RO"/>
              </w:rPr>
              <w:t xml:space="preserve">Calcule detaliate privind </w:t>
            </w:r>
          </w:p>
          <w:p w14:paraId="5847554F" w14:textId="77777777" w:rsidR="004B7633" w:rsidRPr="007E3619" w:rsidRDefault="004B7633" w:rsidP="004B7633">
            <w:pPr>
              <w:keepNext/>
              <w:keepLines/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fundamentarea modificărilor </w:t>
            </w:r>
          </w:p>
          <w:p w14:paraId="43A092F6" w14:textId="77777777" w:rsidR="004B7633" w:rsidRPr="007E3619" w:rsidRDefault="004B7633" w:rsidP="004B7633">
            <w:pPr>
              <w:keepNext/>
              <w:keepLines/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veniturilor şi/sau </w:t>
            </w:r>
          </w:p>
          <w:p w14:paraId="0232CA5A" w14:textId="77777777" w:rsidR="004B7633" w:rsidRPr="007E3619" w:rsidRDefault="004B7633" w:rsidP="004B7633">
            <w:pPr>
              <w:keepNext/>
              <w:keepLines/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cheltuielilor bugetare</w:t>
            </w:r>
          </w:p>
        </w:tc>
        <w:tc>
          <w:tcPr>
            <w:tcW w:w="5973" w:type="dxa"/>
            <w:gridSpan w:val="10"/>
          </w:tcPr>
          <w:p w14:paraId="71899025" w14:textId="77777777" w:rsidR="004B7633" w:rsidRPr="007E3619" w:rsidRDefault="004B7633" w:rsidP="004B7633">
            <w:pPr>
              <w:keepNext/>
              <w:keepLines/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subiect.</w:t>
            </w:r>
          </w:p>
        </w:tc>
      </w:tr>
      <w:tr w:rsidR="004B7633" w:rsidRPr="007E3619" w14:paraId="3CB97948" w14:textId="77777777" w:rsidTr="007E3619">
        <w:trPr>
          <w:trHeight w:val="588"/>
        </w:trPr>
        <w:tc>
          <w:tcPr>
            <w:tcW w:w="9625" w:type="dxa"/>
            <w:gridSpan w:val="11"/>
          </w:tcPr>
          <w:p w14:paraId="0CC078D6" w14:textId="77777777" w:rsidR="004B7633" w:rsidRPr="007E3619" w:rsidRDefault="004B7633" w:rsidP="004B7633">
            <w:pPr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4.7. Punerea în aplicare a prezentei hotărâri nu necesită modificarea cheltuielilor bugetare aprobate </w:t>
            </w:r>
          </w:p>
          <w:p w14:paraId="5529B960" w14:textId="0BAC2A2D" w:rsidR="000424C0" w:rsidRPr="007E3619" w:rsidRDefault="000424C0" w:rsidP="004B7633">
            <w:pPr>
              <w:rPr>
                <w:color w:val="000000"/>
                <w:lang w:val="ro-RO" w:eastAsia="ro-RO"/>
              </w:rPr>
            </w:pPr>
          </w:p>
        </w:tc>
      </w:tr>
      <w:tr w:rsidR="004B7633" w:rsidRPr="007E3619" w14:paraId="019410A8" w14:textId="77777777" w:rsidTr="007E3619">
        <w:trPr>
          <w:trHeight w:val="435"/>
        </w:trPr>
        <w:tc>
          <w:tcPr>
            <w:tcW w:w="3675" w:type="dxa"/>
            <w:gridSpan w:val="2"/>
          </w:tcPr>
          <w:p w14:paraId="326E9E17" w14:textId="77777777" w:rsidR="004B7633" w:rsidRPr="007E3619" w:rsidRDefault="004B7633" w:rsidP="004B7633">
            <w:pPr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4.8 Ale informații</w:t>
            </w:r>
          </w:p>
        </w:tc>
        <w:tc>
          <w:tcPr>
            <w:tcW w:w="5950" w:type="dxa"/>
            <w:gridSpan w:val="9"/>
          </w:tcPr>
          <w:p w14:paraId="58B3B783" w14:textId="77777777" w:rsidR="004B7633" w:rsidRPr="007E3619" w:rsidRDefault="004B7633" w:rsidP="004B7633">
            <w:pPr>
              <w:ind w:left="237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Nu este cazul</w:t>
            </w:r>
          </w:p>
        </w:tc>
      </w:tr>
    </w:tbl>
    <w:p w14:paraId="388A4FB1" w14:textId="77777777" w:rsidR="000424C0" w:rsidRPr="007E3619" w:rsidRDefault="000424C0" w:rsidP="00CA4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o-RO"/>
        </w:rPr>
      </w:pPr>
    </w:p>
    <w:p w14:paraId="55332F46" w14:textId="77777777" w:rsidR="00B32F59" w:rsidRPr="007E3619" w:rsidRDefault="00B32F59" w:rsidP="00B32F59">
      <w:pPr>
        <w:jc w:val="center"/>
        <w:rPr>
          <w:b/>
          <w:color w:val="000000"/>
          <w:lang w:val="ro-RO" w:eastAsia="ro-RO"/>
        </w:rPr>
      </w:pPr>
      <w:r w:rsidRPr="007E3619">
        <w:rPr>
          <w:b/>
          <w:color w:val="000000"/>
          <w:lang w:val="ro-RO" w:eastAsia="ro-RO"/>
        </w:rPr>
        <w:t>Secțiunea a 5-a</w:t>
      </w:r>
    </w:p>
    <w:p w14:paraId="2A58BF7D" w14:textId="5DB0619B" w:rsidR="00B32F59" w:rsidRDefault="00B32F59" w:rsidP="00B32F59">
      <w:pPr>
        <w:jc w:val="center"/>
        <w:rPr>
          <w:b/>
          <w:color w:val="000000"/>
          <w:lang w:val="ro-RO" w:eastAsia="ro-RO"/>
        </w:rPr>
      </w:pPr>
      <w:r w:rsidRPr="007E3619">
        <w:rPr>
          <w:b/>
          <w:color w:val="000000"/>
          <w:lang w:val="ro-RO" w:eastAsia="ro-RO"/>
        </w:rPr>
        <w:t xml:space="preserve"> Efectele proiectului de act normativ asupra </w:t>
      </w:r>
      <w:proofErr w:type="spellStart"/>
      <w:r w:rsidRPr="007E3619">
        <w:rPr>
          <w:b/>
          <w:color w:val="000000"/>
          <w:lang w:val="ro-RO" w:eastAsia="ro-RO"/>
        </w:rPr>
        <w:t>legislaţiei</w:t>
      </w:r>
      <w:proofErr w:type="spellEnd"/>
      <w:r w:rsidRPr="007E3619">
        <w:rPr>
          <w:b/>
          <w:color w:val="000000"/>
          <w:lang w:val="ro-RO" w:eastAsia="ro-RO"/>
        </w:rPr>
        <w:t xml:space="preserve"> în vigoare</w:t>
      </w:r>
    </w:p>
    <w:p w14:paraId="76A1551D" w14:textId="77777777" w:rsidR="007E3619" w:rsidRPr="007E3619" w:rsidRDefault="007E3619" w:rsidP="00B32F59">
      <w:pPr>
        <w:jc w:val="center"/>
        <w:rPr>
          <w:b/>
          <w:color w:val="000000"/>
          <w:lang w:val="ro-RO" w:eastAsia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6570"/>
      </w:tblGrid>
      <w:tr w:rsidR="00B32F59" w:rsidRPr="007E3619" w14:paraId="2F6A9FAC" w14:textId="77777777" w:rsidTr="007E3619">
        <w:tc>
          <w:tcPr>
            <w:tcW w:w="3055" w:type="dxa"/>
          </w:tcPr>
          <w:p w14:paraId="29B6EA8A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5.1 Măsuri normative necesare pentru aplicarea prevederilor proiectului de act normativ :</w:t>
            </w:r>
          </w:p>
          <w:p w14:paraId="69507896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a)acte normative în vigoare ce vor fi modificate sau abrogate, ca urmare a intrării în vigoare a proiectului de act normativ;</w:t>
            </w:r>
          </w:p>
          <w:p w14:paraId="274CFFC3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4FFCAD23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2B8AF4A1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0CD780F5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427B00E2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03DDBBB1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6C7623C1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0B4694A2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2DC0C586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576661C5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0DC1B656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5B7CA6B4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581440B3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567C77E1" w14:textId="77777777" w:rsidR="00AA0045" w:rsidRPr="007E3619" w:rsidRDefault="00AA0045" w:rsidP="00B32F59">
            <w:pPr>
              <w:jc w:val="both"/>
              <w:rPr>
                <w:lang w:val="ro-RO" w:eastAsia="ro-RO"/>
              </w:rPr>
            </w:pPr>
          </w:p>
          <w:p w14:paraId="4F2F0522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b) acte normative ce urmează a fi elaborate în vederea implementării noilor dispoziții.</w:t>
            </w:r>
          </w:p>
        </w:tc>
        <w:tc>
          <w:tcPr>
            <w:tcW w:w="6570" w:type="dxa"/>
          </w:tcPr>
          <w:p w14:paraId="59E4BFBE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</w:p>
          <w:p w14:paraId="379CC66C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</w:p>
          <w:p w14:paraId="1474F461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</w:p>
          <w:p w14:paraId="7D4B86F0" w14:textId="77777777" w:rsidR="00BE668A" w:rsidRDefault="00BE668A" w:rsidP="00676F27">
            <w:pPr>
              <w:jc w:val="both"/>
              <w:rPr>
                <w:color w:val="000000"/>
                <w:lang w:val="ro-RO" w:eastAsia="ro-RO"/>
              </w:rPr>
            </w:pPr>
          </w:p>
          <w:p w14:paraId="75120E28" w14:textId="57B36397" w:rsidR="00AA0045" w:rsidRPr="007E3619" w:rsidRDefault="00AA0045" w:rsidP="00676F27">
            <w:pPr>
              <w:jc w:val="both"/>
              <w:rPr>
                <w:color w:val="000000"/>
                <w:lang w:val="ro-RO" w:eastAsia="ro-RO"/>
              </w:rPr>
            </w:pPr>
            <w:bookmarkStart w:id="0" w:name="_GoBack"/>
            <w:bookmarkEnd w:id="0"/>
            <w:r w:rsidRPr="007E3619">
              <w:rPr>
                <w:color w:val="000000"/>
                <w:lang w:val="ro-RO" w:eastAsia="ro-RO"/>
              </w:rPr>
              <w:t xml:space="preserve">La intrarea în vigoare a prezentei hotărâri, Hotărârea Guvernului nr. 69/2012 privind stabilirea încălcărilor cu caracter </w:t>
            </w:r>
            <w:proofErr w:type="spellStart"/>
            <w:r w:rsidRPr="007E3619">
              <w:rPr>
                <w:color w:val="000000"/>
                <w:lang w:val="ro-RO" w:eastAsia="ro-RO"/>
              </w:rPr>
              <w:t>contravenţional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ale prevederilor Regulamentului (CE) nr. 1.071/2009 al Parlamentului European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al Consiliului din 21 octombrie 2009 de stabilire a unor norme comune privind </w:t>
            </w:r>
            <w:proofErr w:type="spellStart"/>
            <w:r w:rsidRPr="007E3619">
              <w:rPr>
                <w:color w:val="000000"/>
                <w:lang w:val="ro-RO" w:eastAsia="ro-RO"/>
              </w:rPr>
              <w:t>condiţiile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care trebuie îndeplinite pentru exercitarea </w:t>
            </w:r>
            <w:proofErr w:type="spellStart"/>
            <w:r w:rsidRPr="007E3619">
              <w:rPr>
                <w:color w:val="000000"/>
                <w:lang w:val="ro-RO" w:eastAsia="ro-RO"/>
              </w:rPr>
              <w:t>ocupaţiei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de operator de transport rutier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de abrogare a Directivei 96/26/CE a Consiliului, ale Regulamentului (CE) nr. 1.072/2009 al Parlamentului European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al Consiliului din 21 octombrie 2009 privind normele comune pentru accesul la </w:t>
            </w:r>
            <w:proofErr w:type="spellStart"/>
            <w:r w:rsidRPr="007E3619">
              <w:rPr>
                <w:color w:val="000000"/>
                <w:lang w:val="ro-RO" w:eastAsia="ro-RO"/>
              </w:rPr>
              <w:t>piaţa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transportului rutier </w:t>
            </w:r>
            <w:proofErr w:type="spellStart"/>
            <w:r w:rsidRPr="007E3619">
              <w:rPr>
                <w:color w:val="000000"/>
                <w:lang w:val="ro-RO" w:eastAsia="ro-RO"/>
              </w:rPr>
              <w:t>internaţional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de mărfuri, ale Regulamentului (CE) nr. 1.073/2009 al Parlamentului European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al Consiliului din 21 octombrie 2009 privind normele comune pentru accesul la </w:t>
            </w:r>
            <w:proofErr w:type="spellStart"/>
            <w:r w:rsidRPr="007E3619">
              <w:rPr>
                <w:color w:val="000000"/>
                <w:lang w:val="ro-RO" w:eastAsia="ro-RO"/>
              </w:rPr>
              <w:t>piaţa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</w:t>
            </w:r>
            <w:proofErr w:type="spellStart"/>
            <w:r w:rsidRPr="007E3619">
              <w:rPr>
                <w:color w:val="000000"/>
                <w:lang w:val="ro-RO" w:eastAsia="ro-RO"/>
              </w:rPr>
              <w:t>internaţională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 serviciilor de transport cu autocarul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autobuzul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de modificare a Regulamentului (CE) nr. 561/2006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ale </w:t>
            </w:r>
            <w:proofErr w:type="spellStart"/>
            <w:r w:rsidRPr="007E3619">
              <w:rPr>
                <w:color w:val="000000"/>
                <w:lang w:val="ro-RO" w:eastAsia="ro-RO"/>
              </w:rPr>
              <w:t>Ordonanţei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Guvernului </w:t>
            </w:r>
            <w:r w:rsidRPr="007E3619">
              <w:rPr>
                <w:color w:val="000000"/>
                <w:lang w:val="ro-RO" w:eastAsia="ro-RO"/>
              </w:rPr>
              <w:lastRenderedPageBreak/>
              <w:t xml:space="preserve">nr. 27/2011 privind transporturile rutiere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ale normelor de aplicare a acesteia, precum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 </w:t>
            </w:r>
            <w:proofErr w:type="spellStart"/>
            <w:r w:rsidRPr="007E3619">
              <w:rPr>
                <w:color w:val="000000"/>
                <w:lang w:val="ro-RO" w:eastAsia="ro-RO"/>
              </w:rPr>
              <w:t>sancţiunilor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</w:t>
            </w:r>
            <w:proofErr w:type="spellStart"/>
            <w:r w:rsidRPr="007E3619">
              <w:rPr>
                <w:color w:val="000000"/>
                <w:lang w:val="ro-RO" w:eastAsia="ro-RO"/>
              </w:rPr>
              <w:t>contravenţionale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</w:t>
            </w:r>
            <w:proofErr w:type="spellStart"/>
            <w:r w:rsidRPr="007E3619">
              <w:rPr>
                <w:color w:val="000000"/>
                <w:lang w:val="ro-RO" w:eastAsia="ro-RO"/>
              </w:rPr>
              <w:t>şi</w:t>
            </w:r>
            <w:proofErr w:type="spellEnd"/>
            <w:r w:rsidRPr="007E3619">
              <w:rPr>
                <w:color w:val="000000"/>
                <w:lang w:val="ro-RO" w:eastAsia="ro-RO"/>
              </w:rPr>
              <w:t xml:space="preserve"> a altor măsuri aferente aplicabile în cazul constatării încălcărilor se abrogă.</w:t>
            </w:r>
          </w:p>
          <w:p w14:paraId="6C42BF57" w14:textId="77777777" w:rsidR="00AA0045" w:rsidRPr="007E3619" w:rsidRDefault="00AA0045" w:rsidP="00676F27">
            <w:pPr>
              <w:jc w:val="both"/>
              <w:rPr>
                <w:color w:val="000000"/>
                <w:lang w:val="ro-RO" w:eastAsia="ro-RO"/>
              </w:rPr>
            </w:pPr>
          </w:p>
          <w:p w14:paraId="7459ADBA" w14:textId="092F2C41" w:rsidR="00AA0045" w:rsidRPr="007E3619" w:rsidRDefault="00AA0045" w:rsidP="00CA3C0D">
            <w:pPr>
              <w:jc w:val="both"/>
              <w:rPr>
                <w:color w:val="000000"/>
                <w:lang w:val="ro-RO" w:eastAsia="ro-RO"/>
              </w:rPr>
            </w:pPr>
          </w:p>
        </w:tc>
      </w:tr>
      <w:tr w:rsidR="00B32F59" w:rsidRPr="007E3619" w14:paraId="65F2938A" w14:textId="77777777" w:rsidTr="007E3619">
        <w:tc>
          <w:tcPr>
            <w:tcW w:w="3055" w:type="dxa"/>
          </w:tcPr>
          <w:p w14:paraId="287C60ED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lastRenderedPageBreak/>
              <w:t xml:space="preserve">5.2 Impactul asupra legislației în domeniul achiziției publice </w:t>
            </w:r>
          </w:p>
        </w:tc>
        <w:tc>
          <w:tcPr>
            <w:tcW w:w="6570" w:type="dxa"/>
          </w:tcPr>
          <w:p w14:paraId="469F3CF6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</w:t>
            </w:r>
          </w:p>
        </w:tc>
      </w:tr>
      <w:tr w:rsidR="00B32F59" w:rsidRPr="007E3619" w14:paraId="0C332669" w14:textId="77777777" w:rsidTr="007E3619">
        <w:tc>
          <w:tcPr>
            <w:tcW w:w="3055" w:type="dxa"/>
          </w:tcPr>
          <w:p w14:paraId="419CDEA7" w14:textId="6EBFB2EA" w:rsidR="00B32F59" w:rsidRPr="007E3619" w:rsidRDefault="00B32F59" w:rsidP="00CA4153">
            <w:pPr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5.3. Conformitatea proiectului de act normativ cu legislația UE ( în cazul proiectelor ce transpun sau asigură aplicarea unor prevederi de drept UE)</w:t>
            </w:r>
          </w:p>
        </w:tc>
        <w:tc>
          <w:tcPr>
            <w:tcW w:w="6570" w:type="dxa"/>
          </w:tcPr>
          <w:p w14:paraId="3A167FD7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</w:t>
            </w:r>
          </w:p>
        </w:tc>
      </w:tr>
      <w:tr w:rsidR="00B32F59" w:rsidRPr="007E3619" w14:paraId="54A2FD31" w14:textId="77777777" w:rsidTr="007E3619">
        <w:tc>
          <w:tcPr>
            <w:tcW w:w="3055" w:type="dxa"/>
          </w:tcPr>
          <w:p w14:paraId="61518A17" w14:textId="16156D81" w:rsidR="00B32F59" w:rsidRPr="007E3619" w:rsidRDefault="00B32F59" w:rsidP="00085515">
            <w:pPr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5.3.1. Măsuri normative necesare transpunerii directivelor UE</w:t>
            </w:r>
          </w:p>
        </w:tc>
        <w:tc>
          <w:tcPr>
            <w:tcW w:w="6570" w:type="dxa"/>
          </w:tcPr>
          <w:p w14:paraId="102B8CFE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</w:t>
            </w:r>
          </w:p>
          <w:p w14:paraId="71CCB0AE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</w:p>
        </w:tc>
      </w:tr>
      <w:tr w:rsidR="00B32F59" w:rsidRPr="007E3619" w14:paraId="3A956CF7" w14:textId="77777777" w:rsidTr="007E3619">
        <w:tc>
          <w:tcPr>
            <w:tcW w:w="3055" w:type="dxa"/>
          </w:tcPr>
          <w:p w14:paraId="0BD835EB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5.3.2. Măsuri normative necesare aplicării actelor legislative UE</w:t>
            </w:r>
          </w:p>
        </w:tc>
        <w:tc>
          <w:tcPr>
            <w:tcW w:w="6570" w:type="dxa"/>
          </w:tcPr>
          <w:p w14:paraId="31AC5068" w14:textId="2F6B536D" w:rsidR="00B32F59" w:rsidRPr="007E3619" w:rsidRDefault="00876348" w:rsidP="00085515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</w:t>
            </w:r>
          </w:p>
        </w:tc>
      </w:tr>
      <w:tr w:rsidR="00B32F59" w:rsidRPr="007E3619" w14:paraId="359FEF38" w14:textId="77777777" w:rsidTr="007E3619">
        <w:tc>
          <w:tcPr>
            <w:tcW w:w="3055" w:type="dxa"/>
          </w:tcPr>
          <w:p w14:paraId="118208A4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5.4. Hotărâri ale Curții de Justiție a Uniunii Europene</w:t>
            </w:r>
          </w:p>
        </w:tc>
        <w:tc>
          <w:tcPr>
            <w:tcW w:w="6570" w:type="dxa"/>
          </w:tcPr>
          <w:p w14:paraId="449224F0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Nu este cazul</w:t>
            </w:r>
          </w:p>
        </w:tc>
      </w:tr>
      <w:tr w:rsidR="00B32F59" w:rsidRPr="007E3619" w14:paraId="2689C851" w14:textId="77777777" w:rsidTr="007E3619">
        <w:tc>
          <w:tcPr>
            <w:tcW w:w="3055" w:type="dxa"/>
          </w:tcPr>
          <w:p w14:paraId="53A8FDA0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5.5. Alte acte normative și/sau documente internaționale din care decurg angajamente</w:t>
            </w:r>
          </w:p>
        </w:tc>
        <w:tc>
          <w:tcPr>
            <w:tcW w:w="6570" w:type="dxa"/>
          </w:tcPr>
          <w:p w14:paraId="1516CB81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de act normativ nu se referă la acest subiect.</w:t>
            </w:r>
          </w:p>
        </w:tc>
      </w:tr>
      <w:tr w:rsidR="00B32F59" w:rsidRPr="007E3619" w14:paraId="462F2AEF" w14:textId="77777777" w:rsidTr="007E3619">
        <w:tc>
          <w:tcPr>
            <w:tcW w:w="3055" w:type="dxa"/>
          </w:tcPr>
          <w:p w14:paraId="0ED68499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5.6. Alte informații</w:t>
            </w:r>
          </w:p>
        </w:tc>
        <w:tc>
          <w:tcPr>
            <w:tcW w:w="6570" w:type="dxa"/>
          </w:tcPr>
          <w:p w14:paraId="56A9ABC3" w14:textId="77777777" w:rsidR="00B32F59" w:rsidRPr="007E3619" w:rsidRDefault="00B32F59" w:rsidP="00B32F59">
            <w:pPr>
              <w:tabs>
                <w:tab w:val="left" w:pos="851"/>
              </w:tabs>
              <w:spacing w:after="120"/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lang w:val="ro-RO" w:eastAsia="ro-RO"/>
              </w:rPr>
              <w:t>Nu au fost identificate.</w:t>
            </w:r>
          </w:p>
        </w:tc>
      </w:tr>
    </w:tbl>
    <w:p w14:paraId="1A8EFD86" w14:textId="77777777" w:rsidR="00B32F59" w:rsidRPr="007E3619" w:rsidRDefault="00B32F59" w:rsidP="00B32F59">
      <w:pPr>
        <w:jc w:val="center"/>
        <w:rPr>
          <w:b/>
          <w:lang w:val="ro-RO" w:eastAsia="ro-RO"/>
        </w:rPr>
      </w:pPr>
    </w:p>
    <w:p w14:paraId="683733DB" w14:textId="77777777" w:rsidR="00B32F59" w:rsidRPr="007E3619" w:rsidRDefault="00B32F59" w:rsidP="00B32F59">
      <w:pPr>
        <w:jc w:val="center"/>
        <w:rPr>
          <w:b/>
          <w:lang w:val="ro-RO" w:eastAsia="ro-RO"/>
        </w:rPr>
      </w:pPr>
      <w:r w:rsidRPr="007E3619">
        <w:rPr>
          <w:b/>
          <w:lang w:val="ro-RO" w:eastAsia="ro-RO"/>
        </w:rPr>
        <w:t>Secțiunea a 6-a</w:t>
      </w:r>
    </w:p>
    <w:p w14:paraId="67D32E05" w14:textId="28D710E8" w:rsidR="00B32F59" w:rsidRDefault="00B32F59" w:rsidP="00B32F59">
      <w:pPr>
        <w:jc w:val="center"/>
        <w:rPr>
          <w:b/>
          <w:color w:val="000000"/>
          <w:lang w:val="ro-RO" w:eastAsia="ro-RO"/>
        </w:rPr>
      </w:pPr>
      <w:r w:rsidRPr="007E3619">
        <w:rPr>
          <w:b/>
          <w:color w:val="000000"/>
          <w:lang w:val="ro-RO" w:eastAsia="ro-RO"/>
        </w:rPr>
        <w:t>Consultările efectuate în vederea elaborării proiectului de act normativ</w:t>
      </w:r>
    </w:p>
    <w:p w14:paraId="264B3625" w14:textId="77777777" w:rsidR="007E3619" w:rsidRPr="007E3619" w:rsidRDefault="007E3619" w:rsidP="00B32F59">
      <w:pPr>
        <w:jc w:val="center"/>
        <w:rPr>
          <w:b/>
          <w:color w:val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B32F59" w:rsidRPr="007E3619" w14:paraId="02A55B0F" w14:textId="77777777" w:rsidTr="00441C80">
        <w:tc>
          <w:tcPr>
            <w:tcW w:w="5211" w:type="dxa"/>
          </w:tcPr>
          <w:p w14:paraId="2B9964B6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6.1. </w:t>
            </w:r>
            <w:r w:rsidRPr="007E3619">
              <w:rPr>
                <w:color w:val="000000"/>
                <w:lang w:val="ro-RO" w:eastAsia="ro-RO"/>
              </w:rPr>
              <w:t>Informații privind neaplicarea procedurii de participare la elaborarea actelor normative</w:t>
            </w:r>
          </w:p>
        </w:tc>
        <w:tc>
          <w:tcPr>
            <w:tcW w:w="4536" w:type="dxa"/>
          </w:tcPr>
          <w:p w14:paraId="36B96D5D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cazul.</w:t>
            </w:r>
          </w:p>
        </w:tc>
      </w:tr>
      <w:tr w:rsidR="00B32F59" w:rsidRPr="007E3619" w14:paraId="15399B40" w14:textId="77777777" w:rsidTr="00441C80">
        <w:tc>
          <w:tcPr>
            <w:tcW w:w="5211" w:type="dxa"/>
          </w:tcPr>
          <w:p w14:paraId="1CA312DC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lang w:val="ro-RO" w:eastAsia="ro-RO"/>
              </w:rPr>
              <w:t>6.2. Informații privind procesul de consultare cu organizații neguvernamentale, institute de cercetare și alte organisme implicate</w:t>
            </w:r>
          </w:p>
        </w:tc>
        <w:tc>
          <w:tcPr>
            <w:tcW w:w="4536" w:type="dxa"/>
          </w:tcPr>
          <w:p w14:paraId="3717558C" w14:textId="1DABD69B" w:rsidR="00B32F59" w:rsidRPr="007E3619" w:rsidRDefault="00CA4153" w:rsidP="006C3D62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cazul.</w:t>
            </w:r>
          </w:p>
        </w:tc>
      </w:tr>
      <w:tr w:rsidR="00B32F59" w:rsidRPr="007E3619" w14:paraId="70900884" w14:textId="77777777" w:rsidTr="00441C80">
        <w:tc>
          <w:tcPr>
            <w:tcW w:w="5211" w:type="dxa"/>
          </w:tcPr>
          <w:p w14:paraId="5E05B35A" w14:textId="09723D8B" w:rsidR="00B32F59" w:rsidRPr="007E3619" w:rsidRDefault="00B32F59" w:rsidP="00B32F59">
            <w:pPr>
              <w:keepNext/>
              <w:keepLines/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6.3 Fundamentarea alegerii organizațiilor cu care a avut loc consultarea, precum şi a modului în care activitatea acestor organizaţii este legată de obiectivul proiectului de act normativ </w:t>
            </w:r>
          </w:p>
        </w:tc>
        <w:tc>
          <w:tcPr>
            <w:tcW w:w="4536" w:type="dxa"/>
          </w:tcPr>
          <w:p w14:paraId="1BBE5A04" w14:textId="6454CD33" w:rsidR="00B32F59" w:rsidRPr="007E3619" w:rsidRDefault="00FA77A2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</w:t>
            </w:r>
            <w:r w:rsidR="00CA4153" w:rsidRPr="007E3619">
              <w:rPr>
                <w:lang w:val="ro-RO" w:eastAsia="ro-RO"/>
              </w:rPr>
              <w:t>.</w:t>
            </w:r>
            <w:r w:rsidRPr="007E3619">
              <w:rPr>
                <w:lang w:val="ro-RO" w:eastAsia="ro-RO"/>
              </w:rPr>
              <w:t xml:space="preserve"> </w:t>
            </w:r>
          </w:p>
        </w:tc>
      </w:tr>
      <w:tr w:rsidR="00B32F59" w:rsidRPr="007E3619" w14:paraId="747EFFF1" w14:textId="77777777" w:rsidTr="00441C80">
        <w:tc>
          <w:tcPr>
            <w:tcW w:w="5211" w:type="dxa"/>
          </w:tcPr>
          <w:p w14:paraId="60A3B194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 xml:space="preserve">6.4. Informații despre consultările organizate cu autoritățile administrației publice locale </w:t>
            </w:r>
          </w:p>
        </w:tc>
        <w:tc>
          <w:tcPr>
            <w:tcW w:w="4536" w:type="dxa"/>
          </w:tcPr>
          <w:p w14:paraId="02E05DE6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Nu este cazul.</w:t>
            </w:r>
          </w:p>
        </w:tc>
      </w:tr>
      <w:tr w:rsidR="00B32F59" w:rsidRPr="007E3619" w14:paraId="7407A6D4" w14:textId="77777777" w:rsidTr="00441C80">
        <w:tc>
          <w:tcPr>
            <w:tcW w:w="5211" w:type="dxa"/>
          </w:tcPr>
          <w:p w14:paraId="472DB404" w14:textId="77777777" w:rsidR="00B32F59" w:rsidRPr="007E3619" w:rsidRDefault="00B32F59" w:rsidP="00B32F59">
            <w:pPr>
              <w:ind w:left="270" w:hanging="270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6.5. Informații privind avizarea de către:</w:t>
            </w:r>
          </w:p>
          <w:p w14:paraId="3F5FEAC6" w14:textId="77777777" w:rsidR="00B32F59" w:rsidRPr="007E3619" w:rsidRDefault="00B32F59" w:rsidP="00B32F59">
            <w:pPr>
              <w:ind w:left="270" w:hanging="270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a) Consiliul Legislativ</w:t>
            </w:r>
          </w:p>
          <w:p w14:paraId="5DBE884B" w14:textId="77777777" w:rsidR="00B32F59" w:rsidRPr="007E3619" w:rsidRDefault="00B32F59" w:rsidP="00B32F59">
            <w:pPr>
              <w:ind w:left="270" w:hanging="270"/>
              <w:rPr>
                <w:color w:val="000000"/>
                <w:lang w:val="ro-RO" w:eastAsia="ro-RO"/>
              </w:rPr>
            </w:pPr>
          </w:p>
          <w:p w14:paraId="43917CC9" w14:textId="4C03A7A2" w:rsidR="00B32F59" w:rsidRPr="007E3619" w:rsidRDefault="00B32F59" w:rsidP="00B32F59">
            <w:pPr>
              <w:ind w:left="270" w:hanging="270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b) Consiliul Suprem de Apărare a Ţării</w:t>
            </w:r>
          </w:p>
          <w:p w14:paraId="53074D1D" w14:textId="08E0987C" w:rsidR="00B32F59" w:rsidRPr="007E3619" w:rsidRDefault="00B32F59" w:rsidP="00B32F59">
            <w:pPr>
              <w:ind w:left="270" w:hanging="270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c) Consiliul Economic și Social</w:t>
            </w:r>
          </w:p>
          <w:p w14:paraId="5A2626BA" w14:textId="77777777" w:rsidR="00B32F59" w:rsidRPr="007E3619" w:rsidRDefault="00B32F59" w:rsidP="00B32F59">
            <w:pPr>
              <w:ind w:left="270" w:hanging="270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d) Consiliul Concurenței</w:t>
            </w:r>
          </w:p>
          <w:p w14:paraId="04A89B92" w14:textId="77777777" w:rsidR="00B32F59" w:rsidRPr="007E3619" w:rsidRDefault="00B32F59" w:rsidP="00B32F59">
            <w:pPr>
              <w:ind w:left="270" w:hanging="270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 xml:space="preserve">    e) Curtea de Conturi</w:t>
            </w:r>
          </w:p>
        </w:tc>
        <w:tc>
          <w:tcPr>
            <w:tcW w:w="4536" w:type="dxa"/>
          </w:tcPr>
          <w:p w14:paraId="5364D607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</w:p>
          <w:p w14:paraId="5E73A7E7" w14:textId="77777777" w:rsidR="00B32F59" w:rsidRPr="007E3619" w:rsidRDefault="00B32F59" w:rsidP="00B32F59">
            <w:pPr>
              <w:jc w:val="both"/>
              <w:rPr>
                <w:color w:val="000000"/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t>Proiectul necesită avizul Consiliului Legislativ.</w:t>
            </w:r>
          </w:p>
          <w:p w14:paraId="15FD2F33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cazul.</w:t>
            </w:r>
          </w:p>
          <w:p w14:paraId="36A4BB0C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cazul.</w:t>
            </w:r>
          </w:p>
          <w:p w14:paraId="22856456" w14:textId="4A30777E" w:rsidR="00B32F59" w:rsidRPr="007E3619" w:rsidRDefault="00A74986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</w:t>
            </w:r>
            <w:r w:rsidR="00B32F59" w:rsidRPr="007E3619">
              <w:rPr>
                <w:lang w:val="ro-RO" w:eastAsia="ro-RO"/>
              </w:rPr>
              <w:t>.</w:t>
            </w:r>
          </w:p>
          <w:p w14:paraId="7266FD13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este cazul.</w:t>
            </w:r>
          </w:p>
        </w:tc>
      </w:tr>
      <w:tr w:rsidR="00B32F59" w:rsidRPr="007E3619" w14:paraId="57832385" w14:textId="77777777" w:rsidTr="00441C80">
        <w:tc>
          <w:tcPr>
            <w:tcW w:w="5211" w:type="dxa"/>
          </w:tcPr>
          <w:p w14:paraId="649806A1" w14:textId="77777777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color w:val="000000"/>
                <w:lang w:val="ro-RO" w:eastAsia="ro-RO"/>
              </w:rPr>
              <w:lastRenderedPageBreak/>
              <w:t>6.6. Alte informații</w:t>
            </w:r>
          </w:p>
        </w:tc>
        <w:tc>
          <w:tcPr>
            <w:tcW w:w="4536" w:type="dxa"/>
          </w:tcPr>
          <w:p w14:paraId="28015E15" w14:textId="2B46731D" w:rsidR="00B32F59" w:rsidRPr="007E3619" w:rsidRDefault="00B32F59" w:rsidP="00B32F59">
            <w:pPr>
              <w:jc w:val="both"/>
              <w:rPr>
                <w:lang w:val="ro-RO" w:eastAsia="ro-RO"/>
              </w:rPr>
            </w:pPr>
            <w:r w:rsidRPr="007E3619">
              <w:rPr>
                <w:lang w:val="ro-RO" w:eastAsia="ro-RO"/>
              </w:rPr>
              <w:t>Nu au fost identificate.</w:t>
            </w:r>
          </w:p>
        </w:tc>
      </w:tr>
    </w:tbl>
    <w:p w14:paraId="5CF681A0" w14:textId="77777777" w:rsidR="00B32F59" w:rsidRPr="007E3619" w:rsidRDefault="00B32F59" w:rsidP="00B32F59">
      <w:pPr>
        <w:jc w:val="center"/>
        <w:rPr>
          <w:b/>
          <w:color w:val="000000"/>
          <w:lang w:val="ro-RO" w:eastAsia="ro-RO"/>
        </w:rPr>
      </w:pPr>
    </w:p>
    <w:p w14:paraId="1D94BE68" w14:textId="77777777" w:rsidR="00B32F59" w:rsidRPr="007E3619" w:rsidRDefault="00B32F59">
      <w:pPr>
        <w:jc w:val="center"/>
        <w:rPr>
          <w:b/>
          <w:lang w:val="ro-RO"/>
        </w:rPr>
      </w:pPr>
    </w:p>
    <w:p w14:paraId="23BB4483" w14:textId="3B9C2598" w:rsidR="000424C0" w:rsidRDefault="00AF7238" w:rsidP="00CA4153">
      <w:pPr>
        <w:jc w:val="center"/>
        <w:rPr>
          <w:b/>
          <w:lang w:val="ro-RO"/>
        </w:rPr>
      </w:pPr>
      <w:r w:rsidRPr="007E3619">
        <w:rPr>
          <w:b/>
          <w:lang w:val="ro-RO"/>
        </w:rPr>
        <w:t>7. Activităţi de informare publică privind elaborarea şi implementarea proiectului de act normativ</w:t>
      </w:r>
    </w:p>
    <w:p w14:paraId="2E68DF9E" w14:textId="77777777" w:rsidR="007E3619" w:rsidRPr="007E3619" w:rsidRDefault="007E3619" w:rsidP="00CA4153">
      <w:pPr>
        <w:jc w:val="center"/>
        <w:rPr>
          <w:b/>
          <w:lang w:val="ro-RO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3491"/>
        <w:gridCol w:w="6224"/>
      </w:tblGrid>
      <w:tr w:rsidR="00B70275" w:rsidRPr="007E3619" w14:paraId="52F3D2B2" w14:textId="77777777" w:rsidTr="007E3619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19F0" w14:textId="7C2E6478" w:rsidR="00B70275" w:rsidRPr="007E3619" w:rsidRDefault="00074811">
            <w:pPr>
              <w:jc w:val="both"/>
              <w:rPr>
                <w:lang w:val="ro-RO"/>
              </w:rPr>
            </w:pPr>
            <w:r w:rsidRPr="007E3619">
              <w:rPr>
                <w:lang w:val="ro-RO"/>
              </w:rPr>
              <w:t>7.</w:t>
            </w:r>
            <w:r w:rsidR="00AF7238" w:rsidRPr="007E3619">
              <w:rPr>
                <w:lang w:val="ro-RO"/>
              </w:rPr>
              <w:t xml:space="preserve">1.Informarea </w:t>
            </w:r>
            <w:proofErr w:type="spellStart"/>
            <w:r w:rsidR="00AF7238" w:rsidRPr="007E3619">
              <w:rPr>
                <w:lang w:val="ro-RO"/>
              </w:rPr>
              <w:t>societăţii</w:t>
            </w:r>
            <w:proofErr w:type="spellEnd"/>
            <w:r w:rsidR="00AF7238" w:rsidRPr="007E3619">
              <w:rPr>
                <w:lang w:val="ro-RO"/>
              </w:rPr>
              <w:t xml:space="preserve"> civile cu privire la necesitatea elaborării proiectului de act normativ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BD32" w14:textId="0A0D263E" w:rsidR="00B451FE" w:rsidRPr="007E3619" w:rsidRDefault="002012D8" w:rsidP="00A557A5">
            <w:pPr>
              <w:jc w:val="both"/>
              <w:rPr>
                <w:lang w:val="ro-RO"/>
              </w:rPr>
            </w:pPr>
            <w:r w:rsidRPr="007E3619">
              <w:rPr>
                <w:lang w:val="ro-RO"/>
              </w:rPr>
              <w:t>Proiectul a îndeplinit procedura prevăzută de Legea nr. 52/2003 privind transparența decizională în administrația publică, republicată și a fost publicat pe pagina de web a Ministerului Transporturilor și Infrastructurii. Menționăm că au fost întreprinse demersurile legale prevăzute de art. 7 alin. (1) din Regulamentul privind procedurile, la nivelul Guvernului, pentru elaborarea, avizarea și prezentarea proiectelor de acte normative spre adoptare, aprobat prin Hotărârea Guvernului nr. 561/2009.</w:t>
            </w:r>
          </w:p>
        </w:tc>
      </w:tr>
      <w:tr w:rsidR="00B70275" w:rsidRPr="007E3619" w14:paraId="7F536B62" w14:textId="77777777" w:rsidTr="007E3619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E4F5" w14:textId="3EA63A08" w:rsidR="006642F0" w:rsidRPr="007E3619" w:rsidRDefault="00074811" w:rsidP="00A557A5">
            <w:pPr>
              <w:jc w:val="both"/>
              <w:rPr>
                <w:lang w:val="ro-RO"/>
              </w:rPr>
            </w:pPr>
            <w:r w:rsidRPr="007E3619">
              <w:rPr>
                <w:lang w:val="ro-RO"/>
              </w:rPr>
              <w:t>7.</w:t>
            </w:r>
            <w:r w:rsidR="00AF7238" w:rsidRPr="007E3619">
              <w:rPr>
                <w:lang w:val="ro-RO"/>
              </w:rPr>
              <w:t xml:space="preserve">2.Informarea </w:t>
            </w:r>
            <w:r w:rsidR="00352488" w:rsidRPr="007E3619">
              <w:rPr>
                <w:lang w:val="ro-RO"/>
              </w:rPr>
              <w:t>societății</w:t>
            </w:r>
            <w:r w:rsidR="00AF7238" w:rsidRPr="007E3619">
              <w:rPr>
                <w:lang w:val="ro-RO"/>
              </w:rPr>
              <w:t xml:space="preserve"> civile cu privire la eventualul impact asupra mediului în urma implementării proiectului de act normativ, precum şi efectele asupra sănătăţii şi securităţii cetăţeanului sau diversităţii biologice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A733B" w14:textId="33A858F6" w:rsidR="00B70275" w:rsidRPr="007E3619" w:rsidRDefault="00AF7238">
            <w:pPr>
              <w:jc w:val="both"/>
              <w:rPr>
                <w:lang w:val="ro-RO"/>
              </w:rPr>
            </w:pPr>
            <w:r w:rsidRPr="007E3619">
              <w:rPr>
                <w:lang w:val="ro-RO" w:eastAsia="ro-RO"/>
              </w:rPr>
              <w:t>Nu este cazul</w:t>
            </w:r>
            <w:r w:rsidR="00CA4153" w:rsidRPr="007E3619">
              <w:rPr>
                <w:lang w:val="ro-RO" w:eastAsia="ro-RO"/>
              </w:rPr>
              <w:t>.</w:t>
            </w:r>
          </w:p>
        </w:tc>
      </w:tr>
      <w:tr w:rsidR="00B70275" w:rsidRPr="007E3619" w14:paraId="3B3721D5" w14:textId="77777777" w:rsidTr="007E3619"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7D59" w14:textId="77777777" w:rsidR="00B70275" w:rsidRPr="007E3619" w:rsidRDefault="00AF7238">
            <w:pPr>
              <w:rPr>
                <w:lang w:val="ro-RO"/>
              </w:rPr>
            </w:pPr>
            <w:r w:rsidRPr="007E3619">
              <w:rPr>
                <w:lang w:val="ro-RO"/>
              </w:rPr>
              <w:t>3. Alte informaţii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066E" w14:textId="5C69A35E" w:rsidR="00B70275" w:rsidRPr="007E3619" w:rsidRDefault="00AF7238" w:rsidP="00085515">
            <w:pPr>
              <w:rPr>
                <w:strike/>
                <w:lang w:val="ro-RO"/>
              </w:rPr>
            </w:pPr>
            <w:r w:rsidRPr="007E3619">
              <w:rPr>
                <w:lang w:val="ro-RO"/>
              </w:rPr>
              <w:t xml:space="preserve">Nu </w:t>
            </w:r>
            <w:r w:rsidR="00CA4153" w:rsidRPr="007E3619">
              <w:rPr>
                <w:lang w:val="ro-RO"/>
              </w:rPr>
              <w:t>au fost identificate.</w:t>
            </w:r>
            <w:r w:rsidRPr="007E3619">
              <w:rPr>
                <w:lang w:val="ro-RO"/>
              </w:rPr>
              <w:t xml:space="preserve"> </w:t>
            </w:r>
            <w:r w:rsidRPr="007E3619">
              <w:rPr>
                <w:strike/>
                <w:lang w:val="ro-RO"/>
              </w:rPr>
              <w:t xml:space="preserve"> </w:t>
            </w:r>
          </w:p>
          <w:p w14:paraId="711484CA" w14:textId="767B530C" w:rsidR="000424C0" w:rsidRPr="007E3619" w:rsidRDefault="000424C0" w:rsidP="00085515">
            <w:pPr>
              <w:rPr>
                <w:lang w:val="ro-RO"/>
              </w:rPr>
            </w:pPr>
          </w:p>
        </w:tc>
      </w:tr>
    </w:tbl>
    <w:p w14:paraId="4D19CA4F" w14:textId="77777777" w:rsidR="00B70275" w:rsidRPr="007E3619" w:rsidRDefault="00B70275">
      <w:pPr>
        <w:jc w:val="center"/>
        <w:rPr>
          <w:b/>
          <w:lang w:val="ro-RO"/>
        </w:rPr>
      </w:pPr>
    </w:p>
    <w:p w14:paraId="2DAD04AB" w14:textId="705B0445" w:rsidR="006460F3" w:rsidRDefault="00AF7238" w:rsidP="00CA4153">
      <w:pPr>
        <w:jc w:val="center"/>
        <w:rPr>
          <w:b/>
          <w:lang w:val="ro-RO"/>
        </w:rPr>
      </w:pPr>
      <w:r w:rsidRPr="007E3619">
        <w:rPr>
          <w:b/>
          <w:lang w:val="ro-RO"/>
        </w:rPr>
        <w:t>8. Măsuri de implementare</w:t>
      </w:r>
    </w:p>
    <w:p w14:paraId="08577064" w14:textId="77777777" w:rsidR="007E3619" w:rsidRPr="007E3619" w:rsidRDefault="007E3619" w:rsidP="00CA4153">
      <w:pPr>
        <w:jc w:val="center"/>
        <w:rPr>
          <w:b/>
          <w:lang w:val="ro-RO"/>
        </w:rPr>
      </w:pPr>
    </w:p>
    <w:tbl>
      <w:tblPr>
        <w:tblW w:w="9715" w:type="dxa"/>
        <w:tblLook w:val="01E0" w:firstRow="1" w:lastRow="1" w:firstColumn="1" w:lastColumn="1" w:noHBand="0" w:noVBand="0"/>
      </w:tblPr>
      <w:tblGrid>
        <w:gridCol w:w="4077"/>
        <w:gridCol w:w="5638"/>
      </w:tblGrid>
      <w:tr w:rsidR="00B70275" w:rsidRPr="007E3619" w14:paraId="5C5086A2" w14:textId="77777777" w:rsidTr="007E3619">
        <w:trPr>
          <w:trHeight w:val="1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9CAC" w14:textId="08CF2BDF" w:rsidR="006642F0" w:rsidRPr="007E3619" w:rsidRDefault="00074811" w:rsidP="00074811">
            <w:pPr>
              <w:rPr>
                <w:lang w:val="ro-RO"/>
              </w:rPr>
            </w:pPr>
            <w:r w:rsidRPr="007E3619">
              <w:rPr>
                <w:lang w:val="ro-RO"/>
              </w:rPr>
              <w:t xml:space="preserve">8.1. Măsuri privind implementarea, monitorizarea și evaluarea proiectului de act normativ existent 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2223" w14:textId="2E6E7106" w:rsidR="00B70275" w:rsidRPr="007E3619" w:rsidRDefault="00AF7238">
            <w:pPr>
              <w:jc w:val="both"/>
              <w:rPr>
                <w:lang w:val="ro-RO"/>
              </w:rPr>
            </w:pPr>
            <w:r w:rsidRPr="007E3619">
              <w:rPr>
                <w:lang w:val="ro-RO"/>
              </w:rPr>
              <w:t>Nu este cazul</w:t>
            </w:r>
            <w:r w:rsidR="00CA4153" w:rsidRPr="007E3619">
              <w:rPr>
                <w:lang w:val="ro-RO"/>
              </w:rPr>
              <w:t>.</w:t>
            </w:r>
          </w:p>
        </w:tc>
      </w:tr>
      <w:tr w:rsidR="00B70275" w:rsidRPr="007E3619" w14:paraId="042C5EB8" w14:textId="77777777" w:rsidTr="007E361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E09A" w14:textId="77777777" w:rsidR="00B70275" w:rsidRPr="007E3619" w:rsidRDefault="00AF7238">
            <w:pPr>
              <w:rPr>
                <w:lang w:val="ro-RO"/>
              </w:rPr>
            </w:pPr>
            <w:r w:rsidRPr="007E3619">
              <w:rPr>
                <w:lang w:val="ro-RO"/>
              </w:rPr>
              <w:t>2.Alte informaţii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A2F10" w14:textId="5E48EB0E" w:rsidR="000424C0" w:rsidRPr="007E3619" w:rsidRDefault="00CA4153" w:rsidP="00753BC5">
            <w:pPr>
              <w:rPr>
                <w:lang w:val="ro-RO"/>
              </w:rPr>
            </w:pPr>
            <w:r w:rsidRPr="007E3619">
              <w:rPr>
                <w:lang w:val="ro-RO"/>
              </w:rPr>
              <w:t xml:space="preserve">Nu au fost identificate.  </w:t>
            </w:r>
          </w:p>
        </w:tc>
      </w:tr>
    </w:tbl>
    <w:p w14:paraId="1BDD76BE" w14:textId="77777777" w:rsidR="009D18D6" w:rsidRPr="007E3619" w:rsidRDefault="009D18D6" w:rsidP="008C7312">
      <w:pPr>
        <w:jc w:val="both"/>
        <w:rPr>
          <w:lang w:val="ro-RO"/>
        </w:rPr>
      </w:pPr>
    </w:p>
    <w:p w14:paraId="089B2B09" w14:textId="77777777" w:rsidR="00847032" w:rsidRDefault="00847032" w:rsidP="00A74986">
      <w:pPr>
        <w:ind w:firstLine="567"/>
        <w:jc w:val="both"/>
      </w:pPr>
    </w:p>
    <w:p w14:paraId="43CE9F02" w14:textId="77777777" w:rsidR="00847032" w:rsidRDefault="00847032" w:rsidP="00A74986">
      <w:pPr>
        <w:ind w:firstLine="567"/>
        <w:jc w:val="both"/>
      </w:pPr>
    </w:p>
    <w:p w14:paraId="68B6E60B" w14:textId="77777777" w:rsidR="00847032" w:rsidRDefault="00847032" w:rsidP="00A74986">
      <w:pPr>
        <w:ind w:firstLine="567"/>
        <w:jc w:val="both"/>
      </w:pPr>
    </w:p>
    <w:p w14:paraId="4BA4176D" w14:textId="77777777" w:rsidR="00847032" w:rsidRDefault="00847032" w:rsidP="00A74986">
      <w:pPr>
        <w:ind w:firstLine="567"/>
        <w:jc w:val="both"/>
      </w:pPr>
    </w:p>
    <w:p w14:paraId="71238BDC" w14:textId="77777777" w:rsidR="00847032" w:rsidRDefault="00847032" w:rsidP="00A74986">
      <w:pPr>
        <w:ind w:firstLine="567"/>
        <w:jc w:val="both"/>
      </w:pPr>
    </w:p>
    <w:p w14:paraId="7BB959E6" w14:textId="77777777" w:rsidR="00847032" w:rsidRDefault="00847032" w:rsidP="00A74986">
      <w:pPr>
        <w:ind w:firstLine="567"/>
        <w:jc w:val="both"/>
      </w:pPr>
    </w:p>
    <w:p w14:paraId="10BACAD0" w14:textId="77777777" w:rsidR="00847032" w:rsidRDefault="00847032" w:rsidP="00A74986">
      <w:pPr>
        <w:ind w:firstLine="567"/>
        <w:jc w:val="both"/>
      </w:pPr>
    </w:p>
    <w:p w14:paraId="69034395" w14:textId="77777777" w:rsidR="00847032" w:rsidRDefault="00847032" w:rsidP="00A74986">
      <w:pPr>
        <w:ind w:firstLine="567"/>
        <w:jc w:val="both"/>
      </w:pPr>
    </w:p>
    <w:p w14:paraId="3D44A9E8" w14:textId="77777777" w:rsidR="00847032" w:rsidRDefault="00847032" w:rsidP="00A74986">
      <w:pPr>
        <w:ind w:firstLine="567"/>
        <w:jc w:val="both"/>
      </w:pPr>
    </w:p>
    <w:p w14:paraId="0E371003" w14:textId="77777777" w:rsidR="00847032" w:rsidRDefault="00847032" w:rsidP="00A74986">
      <w:pPr>
        <w:ind w:firstLine="567"/>
        <w:jc w:val="both"/>
      </w:pPr>
    </w:p>
    <w:p w14:paraId="716DF7B0" w14:textId="77777777" w:rsidR="00847032" w:rsidRDefault="00847032" w:rsidP="00A74986">
      <w:pPr>
        <w:ind w:firstLine="567"/>
        <w:jc w:val="both"/>
      </w:pPr>
    </w:p>
    <w:p w14:paraId="22C40869" w14:textId="77777777" w:rsidR="00847032" w:rsidRDefault="00847032" w:rsidP="00A74986">
      <w:pPr>
        <w:ind w:firstLine="567"/>
        <w:jc w:val="both"/>
      </w:pPr>
    </w:p>
    <w:p w14:paraId="55836628" w14:textId="77777777" w:rsidR="00847032" w:rsidRDefault="00847032" w:rsidP="00A74986">
      <w:pPr>
        <w:ind w:firstLine="567"/>
        <w:jc w:val="both"/>
      </w:pPr>
    </w:p>
    <w:p w14:paraId="2CF2E759" w14:textId="77777777" w:rsidR="00847032" w:rsidRDefault="00847032" w:rsidP="00A74986">
      <w:pPr>
        <w:ind w:firstLine="567"/>
        <w:jc w:val="both"/>
      </w:pPr>
    </w:p>
    <w:p w14:paraId="7DA1FA80" w14:textId="77777777" w:rsidR="00847032" w:rsidRDefault="00847032" w:rsidP="00A74986">
      <w:pPr>
        <w:ind w:firstLine="567"/>
        <w:jc w:val="both"/>
      </w:pPr>
    </w:p>
    <w:p w14:paraId="4A13F10B" w14:textId="77777777" w:rsidR="00847032" w:rsidRDefault="00847032" w:rsidP="00A74986">
      <w:pPr>
        <w:ind w:firstLine="567"/>
        <w:jc w:val="both"/>
      </w:pPr>
    </w:p>
    <w:p w14:paraId="7A13063D" w14:textId="77777777" w:rsidR="00847032" w:rsidRDefault="00847032" w:rsidP="00A74986">
      <w:pPr>
        <w:ind w:firstLine="567"/>
        <w:jc w:val="both"/>
      </w:pPr>
    </w:p>
    <w:p w14:paraId="46E34ACB" w14:textId="77777777" w:rsidR="00847032" w:rsidRDefault="00847032" w:rsidP="00A74986">
      <w:pPr>
        <w:ind w:firstLine="567"/>
        <w:jc w:val="both"/>
      </w:pPr>
    </w:p>
    <w:p w14:paraId="44D0BF96" w14:textId="77777777" w:rsidR="00A74986" w:rsidRDefault="00A74986" w:rsidP="00A74986">
      <w:pPr>
        <w:ind w:firstLine="567"/>
        <w:jc w:val="both"/>
      </w:pPr>
      <w:proofErr w:type="spellStart"/>
      <w:r w:rsidRPr="007E3619">
        <w:lastRenderedPageBreak/>
        <w:t>Având</w:t>
      </w:r>
      <w:proofErr w:type="spellEnd"/>
      <w:r w:rsidRPr="007E3619">
        <w:t xml:space="preserve"> </w:t>
      </w:r>
      <w:proofErr w:type="spellStart"/>
      <w:r w:rsidRPr="007E3619">
        <w:t>în</w:t>
      </w:r>
      <w:proofErr w:type="spellEnd"/>
      <w:r w:rsidRPr="007E3619">
        <w:t xml:space="preserve"> </w:t>
      </w:r>
      <w:proofErr w:type="spellStart"/>
      <w:r w:rsidRPr="007E3619">
        <w:t>vedere</w:t>
      </w:r>
      <w:proofErr w:type="spellEnd"/>
      <w:r w:rsidRPr="007E3619">
        <w:t xml:space="preserve"> </w:t>
      </w:r>
      <w:proofErr w:type="spellStart"/>
      <w:r w:rsidRPr="007E3619">
        <w:t>cele</w:t>
      </w:r>
      <w:proofErr w:type="spellEnd"/>
      <w:r w:rsidRPr="007E3619">
        <w:t xml:space="preserve"> de </w:t>
      </w:r>
      <w:proofErr w:type="spellStart"/>
      <w:r w:rsidRPr="007E3619">
        <w:t>mai</w:t>
      </w:r>
      <w:proofErr w:type="spellEnd"/>
      <w:r w:rsidRPr="007E3619">
        <w:t xml:space="preserve"> </w:t>
      </w:r>
      <w:proofErr w:type="spellStart"/>
      <w:r w:rsidRPr="007E3619">
        <w:t>sus</w:t>
      </w:r>
      <w:proofErr w:type="spellEnd"/>
      <w:r w:rsidRPr="007E3619">
        <w:t xml:space="preserve">, a </w:t>
      </w:r>
      <w:proofErr w:type="spellStart"/>
      <w:r w:rsidRPr="007E3619">
        <w:t>fost</w:t>
      </w:r>
      <w:proofErr w:type="spellEnd"/>
      <w:r w:rsidRPr="007E3619">
        <w:t xml:space="preserve"> </w:t>
      </w:r>
      <w:proofErr w:type="spellStart"/>
      <w:r w:rsidRPr="007E3619">
        <w:t>elaborat</w:t>
      </w:r>
      <w:proofErr w:type="spellEnd"/>
      <w:r w:rsidRPr="007E3619">
        <w:t xml:space="preserve"> </w:t>
      </w:r>
      <w:proofErr w:type="spellStart"/>
      <w:r w:rsidRPr="007E3619">
        <w:t>alăturat</w:t>
      </w:r>
      <w:proofErr w:type="spellEnd"/>
      <w:r w:rsidRPr="007E3619">
        <w:t xml:space="preserve">, </w:t>
      </w:r>
      <w:proofErr w:type="spellStart"/>
      <w:r w:rsidRPr="007E3619">
        <w:rPr>
          <w:b/>
        </w:rPr>
        <w:t>proiectul</w:t>
      </w:r>
      <w:proofErr w:type="spellEnd"/>
      <w:r w:rsidRPr="007E3619">
        <w:rPr>
          <w:b/>
        </w:rPr>
        <w:t xml:space="preserve"> de </w:t>
      </w:r>
      <w:proofErr w:type="spellStart"/>
      <w:r w:rsidRPr="007E3619">
        <w:rPr>
          <w:b/>
        </w:rPr>
        <w:t>Hotărâre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Guvernului</w:t>
      </w:r>
      <w:proofErr w:type="spellEnd"/>
      <w:r w:rsidRPr="007E3619">
        <w:t xml:space="preserve"> </w:t>
      </w:r>
      <w:proofErr w:type="spellStart"/>
      <w:r w:rsidRPr="007E3619">
        <w:rPr>
          <w:b/>
        </w:rPr>
        <w:t>privind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stabilirea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încălcărilor</w:t>
      </w:r>
      <w:proofErr w:type="spellEnd"/>
      <w:r w:rsidRPr="007E3619">
        <w:rPr>
          <w:b/>
        </w:rPr>
        <w:t xml:space="preserve"> cu </w:t>
      </w:r>
      <w:proofErr w:type="spellStart"/>
      <w:r w:rsidRPr="007E3619">
        <w:rPr>
          <w:b/>
        </w:rPr>
        <w:t>caracter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contravențional</w:t>
      </w:r>
      <w:proofErr w:type="spellEnd"/>
      <w:r w:rsidRPr="007E3619">
        <w:rPr>
          <w:b/>
        </w:rPr>
        <w:t xml:space="preserve"> ale </w:t>
      </w:r>
      <w:proofErr w:type="spellStart"/>
      <w:r w:rsidRPr="007E3619">
        <w:rPr>
          <w:b/>
        </w:rPr>
        <w:t>prevederilor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Regulamentului</w:t>
      </w:r>
      <w:proofErr w:type="spellEnd"/>
      <w:r w:rsidRPr="007E3619">
        <w:rPr>
          <w:b/>
        </w:rPr>
        <w:t xml:space="preserve"> (CE) </w:t>
      </w:r>
      <w:proofErr w:type="spellStart"/>
      <w:r w:rsidRPr="007E3619">
        <w:rPr>
          <w:b/>
        </w:rPr>
        <w:t>nr</w:t>
      </w:r>
      <w:proofErr w:type="spellEnd"/>
      <w:r w:rsidRPr="007E3619">
        <w:rPr>
          <w:b/>
        </w:rPr>
        <w:t xml:space="preserve">. 1.071/2009 al </w:t>
      </w:r>
      <w:proofErr w:type="spellStart"/>
      <w:r w:rsidRPr="007E3619">
        <w:rPr>
          <w:b/>
        </w:rPr>
        <w:t>Parlamentului</w:t>
      </w:r>
      <w:proofErr w:type="spellEnd"/>
      <w:r w:rsidRPr="007E3619">
        <w:rPr>
          <w:b/>
        </w:rPr>
        <w:t xml:space="preserve"> European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al </w:t>
      </w:r>
      <w:proofErr w:type="spellStart"/>
      <w:r w:rsidRPr="007E3619">
        <w:rPr>
          <w:b/>
        </w:rPr>
        <w:t>Consiliului</w:t>
      </w:r>
      <w:proofErr w:type="spellEnd"/>
      <w:r w:rsidRPr="007E3619">
        <w:rPr>
          <w:b/>
        </w:rPr>
        <w:t xml:space="preserve"> din 21 </w:t>
      </w:r>
      <w:proofErr w:type="spellStart"/>
      <w:r w:rsidRPr="007E3619">
        <w:rPr>
          <w:b/>
        </w:rPr>
        <w:t>octombrie</w:t>
      </w:r>
      <w:proofErr w:type="spellEnd"/>
      <w:r w:rsidRPr="007E3619">
        <w:rPr>
          <w:b/>
        </w:rPr>
        <w:t xml:space="preserve"> 2009 de </w:t>
      </w:r>
      <w:proofErr w:type="spellStart"/>
      <w:r w:rsidRPr="007E3619">
        <w:rPr>
          <w:b/>
        </w:rPr>
        <w:t>stabilire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unor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norme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comune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privind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condițiile</w:t>
      </w:r>
      <w:proofErr w:type="spellEnd"/>
      <w:r w:rsidRPr="007E3619">
        <w:rPr>
          <w:b/>
        </w:rPr>
        <w:t xml:space="preserve"> care </w:t>
      </w:r>
      <w:proofErr w:type="spellStart"/>
      <w:r w:rsidRPr="007E3619">
        <w:rPr>
          <w:b/>
        </w:rPr>
        <w:t>trebuie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îndeplinite</w:t>
      </w:r>
      <w:proofErr w:type="spellEnd"/>
      <w:r w:rsidRPr="007E3619">
        <w:rPr>
          <w:b/>
        </w:rPr>
        <w:t xml:space="preserve"> pentru </w:t>
      </w:r>
      <w:proofErr w:type="spellStart"/>
      <w:r w:rsidRPr="007E3619">
        <w:rPr>
          <w:b/>
        </w:rPr>
        <w:t>exercitarea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ocupației</w:t>
      </w:r>
      <w:proofErr w:type="spellEnd"/>
      <w:r w:rsidRPr="007E3619">
        <w:rPr>
          <w:b/>
        </w:rPr>
        <w:t xml:space="preserve"> de operator de transport </w:t>
      </w:r>
      <w:proofErr w:type="spellStart"/>
      <w:r w:rsidRPr="007E3619">
        <w:rPr>
          <w:b/>
        </w:rPr>
        <w:t>rutier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de </w:t>
      </w:r>
      <w:proofErr w:type="spellStart"/>
      <w:r w:rsidRPr="007E3619">
        <w:rPr>
          <w:b/>
        </w:rPr>
        <w:t>abrogare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Directivei</w:t>
      </w:r>
      <w:proofErr w:type="spellEnd"/>
      <w:r w:rsidRPr="007E3619">
        <w:rPr>
          <w:b/>
        </w:rPr>
        <w:t xml:space="preserve"> 96/26/CE a </w:t>
      </w:r>
      <w:proofErr w:type="spellStart"/>
      <w:r w:rsidRPr="007E3619">
        <w:rPr>
          <w:b/>
        </w:rPr>
        <w:t>Consiliului</w:t>
      </w:r>
      <w:proofErr w:type="spellEnd"/>
      <w:r w:rsidRPr="007E3619">
        <w:rPr>
          <w:b/>
        </w:rPr>
        <w:t xml:space="preserve">, ale </w:t>
      </w:r>
      <w:proofErr w:type="spellStart"/>
      <w:r w:rsidRPr="007E3619">
        <w:rPr>
          <w:b/>
        </w:rPr>
        <w:t>Regulamentului</w:t>
      </w:r>
      <w:proofErr w:type="spellEnd"/>
      <w:r w:rsidRPr="007E3619">
        <w:rPr>
          <w:b/>
        </w:rPr>
        <w:t xml:space="preserve"> (CE) </w:t>
      </w:r>
      <w:proofErr w:type="spellStart"/>
      <w:r w:rsidRPr="007E3619">
        <w:rPr>
          <w:b/>
        </w:rPr>
        <w:t>nr</w:t>
      </w:r>
      <w:proofErr w:type="spellEnd"/>
      <w:r w:rsidRPr="007E3619">
        <w:rPr>
          <w:b/>
        </w:rPr>
        <w:t xml:space="preserve">. 1.072/2009 al </w:t>
      </w:r>
      <w:proofErr w:type="spellStart"/>
      <w:r w:rsidRPr="007E3619">
        <w:rPr>
          <w:b/>
        </w:rPr>
        <w:t>Parlamentului</w:t>
      </w:r>
      <w:proofErr w:type="spellEnd"/>
      <w:r w:rsidRPr="007E3619">
        <w:rPr>
          <w:b/>
        </w:rPr>
        <w:t xml:space="preserve"> European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al </w:t>
      </w:r>
      <w:proofErr w:type="spellStart"/>
      <w:r w:rsidRPr="007E3619">
        <w:rPr>
          <w:b/>
        </w:rPr>
        <w:t>Consiliului</w:t>
      </w:r>
      <w:proofErr w:type="spellEnd"/>
      <w:r w:rsidRPr="007E3619">
        <w:rPr>
          <w:b/>
        </w:rPr>
        <w:t xml:space="preserve"> din 21 </w:t>
      </w:r>
      <w:proofErr w:type="spellStart"/>
      <w:r w:rsidRPr="007E3619">
        <w:rPr>
          <w:b/>
        </w:rPr>
        <w:t>octombrie</w:t>
      </w:r>
      <w:proofErr w:type="spellEnd"/>
      <w:r w:rsidRPr="007E3619">
        <w:rPr>
          <w:b/>
        </w:rPr>
        <w:t xml:space="preserve"> 2009 </w:t>
      </w:r>
      <w:proofErr w:type="spellStart"/>
      <w:r w:rsidRPr="007E3619">
        <w:rPr>
          <w:b/>
        </w:rPr>
        <w:t>privind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normele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comune</w:t>
      </w:r>
      <w:proofErr w:type="spellEnd"/>
      <w:r w:rsidRPr="007E3619">
        <w:rPr>
          <w:b/>
        </w:rPr>
        <w:t xml:space="preserve"> pentru </w:t>
      </w:r>
      <w:proofErr w:type="spellStart"/>
      <w:r w:rsidRPr="007E3619">
        <w:rPr>
          <w:b/>
        </w:rPr>
        <w:t>accesul</w:t>
      </w:r>
      <w:proofErr w:type="spellEnd"/>
      <w:r w:rsidRPr="007E3619">
        <w:rPr>
          <w:b/>
        </w:rPr>
        <w:t xml:space="preserve"> la </w:t>
      </w:r>
      <w:proofErr w:type="spellStart"/>
      <w:r w:rsidRPr="007E3619">
        <w:rPr>
          <w:b/>
        </w:rPr>
        <w:t>piața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transportului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rutier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internațional</w:t>
      </w:r>
      <w:proofErr w:type="spellEnd"/>
      <w:r w:rsidRPr="007E3619">
        <w:rPr>
          <w:b/>
        </w:rPr>
        <w:t xml:space="preserve"> de </w:t>
      </w:r>
      <w:proofErr w:type="spellStart"/>
      <w:r w:rsidRPr="007E3619">
        <w:rPr>
          <w:b/>
        </w:rPr>
        <w:t>mărfuri</w:t>
      </w:r>
      <w:proofErr w:type="spellEnd"/>
      <w:r w:rsidRPr="007E3619">
        <w:rPr>
          <w:b/>
        </w:rPr>
        <w:t xml:space="preserve">, ale </w:t>
      </w:r>
      <w:proofErr w:type="spellStart"/>
      <w:r w:rsidRPr="007E3619">
        <w:rPr>
          <w:b/>
        </w:rPr>
        <w:t>Regulamentului</w:t>
      </w:r>
      <w:proofErr w:type="spellEnd"/>
      <w:r w:rsidRPr="007E3619">
        <w:rPr>
          <w:b/>
        </w:rPr>
        <w:t xml:space="preserve"> (CE) </w:t>
      </w:r>
      <w:proofErr w:type="spellStart"/>
      <w:r w:rsidRPr="007E3619">
        <w:rPr>
          <w:b/>
        </w:rPr>
        <w:t>nr</w:t>
      </w:r>
      <w:proofErr w:type="spellEnd"/>
      <w:r w:rsidRPr="007E3619">
        <w:rPr>
          <w:b/>
        </w:rPr>
        <w:t xml:space="preserve">. 1.073/2009 al </w:t>
      </w:r>
      <w:proofErr w:type="spellStart"/>
      <w:r w:rsidRPr="007E3619">
        <w:rPr>
          <w:b/>
        </w:rPr>
        <w:t>Parlamentului</w:t>
      </w:r>
      <w:proofErr w:type="spellEnd"/>
      <w:r w:rsidRPr="007E3619">
        <w:rPr>
          <w:b/>
        </w:rPr>
        <w:t xml:space="preserve"> European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al </w:t>
      </w:r>
      <w:proofErr w:type="spellStart"/>
      <w:r w:rsidRPr="007E3619">
        <w:rPr>
          <w:b/>
        </w:rPr>
        <w:t>Consiliului</w:t>
      </w:r>
      <w:proofErr w:type="spellEnd"/>
      <w:r w:rsidRPr="007E3619">
        <w:rPr>
          <w:b/>
        </w:rPr>
        <w:t xml:space="preserve"> din 21 </w:t>
      </w:r>
      <w:proofErr w:type="spellStart"/>
      <w:r w:rsidRPr="007E3619">
        <w:rPr>
          <w:b/>
        </w:rPr>
        <w:t>octombrie</w:t>
      </w:r>
      <w:proofErr w:type="spellEnd"/>
      <w:r w:rsidRPr="007E3619">
        <w:rPr>
          <w:b/>
        </w:rPr>
        <w:t xml:space="preserve"> 2009 </w:t>
      </w:r>
      <w:proofErr w:type="spellStart"/>
      <w:r w:rsidRPr="007E3619">
        <w:rPr>
          <w:b/>
        </w:rPr>
        <w:t>privind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normele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comune</w:t>
      </w:r>
      <w:proofErr w:type="spellEnd"/>
      <w:r w:rsidRPr="007E3619">
        <w:rPr>
          <w:b/>
        </w:rPr>
        <w:t xml:space="preserve"> pentru </w:t>
      </w:r>
      <w:proofErr w:type="spellStart"/>
      <w:r w:rsidRPr="007E3619">
        <w:rPr>
          <w:b/>
        </w:rPr>
        <w:t>accesul</w:t>
      </w:r>
      <w:proofErr w:type="spellEnd"/>
      <w:r w:rsidRPr="007E3619">
        <w:rPr>
          <w:b/>
        </w:rPr>
        <w:t xml:space="preserve"> la </w:t>
      </w:r>
      <w:proofErr w:type="spellStart"/>
      <w:r w:rsidRPr="007E3619">
        <w:rPr>
          <w:b/>
        </w:rPr>
        <w:t>piața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internațională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serviciilor</w:t>
      </w:r>
      <w:proofErr w:type="spellEnd"/>
      <w:r w:rsidRPr="007E3619">
        <w:rPr>
          <w:b/>
        </w:rPr>
        <w:t xml:space="preserve"> de transport cu </w:t>
      </w:r>
      <w:proofErr w:type="spellStart"/>
      <w:r w:rsidRPr="007E3619">
        <w:rPr>
          <w:b/>
        </w:rPr>
        <w:t>autocarul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autobuzul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de </w:t>
      </w:r>
      <w:proofErr w:type="spellStart"/>
      <w:r w:rsidRPr="007E3619">
        <w:rPr>
          <w:b/>
        </w:rPr>
        <w:t>modificare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Regulamentului</w:t>
      </w:r>
      <w:proofErr w:type="spellEnd"/>
      <w:r w:rsidRPr="007E3619">
        <w:rPr>
          <w:b/>
        </w:rPr>
        <w:t xml:space="preserve"> (CE) </w:t>
      </w:r>
      <w:proofErr w:type="spellStart"/>
      <w:r w:rsidRPr="007E3619">
        <w:rPr>
          <w:b/>
        </w:rPr>
        <w:t>nr</w:t>
      </w:r>
      <w:proofErr w:type="spellEnd"/>
      <w:r w:rsidRPr="007E3619">
        <w:rPr>
          <w:b/>
        </w:rPr>
        <w:t xml:space="preserve">. </w:t>
      </w:r>
      <w:proofErr w:type="gramStart"/>
      <w:r w:rsidRPr="007E3619">
        <w:rPr>
          <w:b/>
        </w:rPr>
        <w:t>561/2006</w:t>
      </w:r>
      <w:proofErr w:type="gramEnd"/>
      <w:r w:rsidRPr="007E3619">
        <w:rPr>
          <w:b/>
        </w:rPr>
        <w:t xml:space="preserve">, ale </w:t>
      </w:r>
      <w:proofErr w:type="spellStart"/>
      <w:r w:rsidRPr="007E3619">
        <w:rPr>
          <w:b/>
        </w:rPr>
        <w:t>Ordonanței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Guvernului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nr</w:t>
      </w:r>
      <w:proofErr w:type="spellEnd"/>
      <w:r w:rsidRPr="007E3619">
        <w:rPr>
          <w:b/>
        </w:rPr>
        <w:t xml:space="preserve">. 27/2011 </w:t>
      </w:r>
      <w:proofErr w:type="spellStart"/>
      <w:r w:rsidRPr="007E3619">
        <w:rPr>
          <w:b/>
        </w:rPr>
        <w:t>privind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transporturile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rutiere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ale </w:t>
      </w:r>
      <w:proofErr w:type="spellStart"/>
      <w:r w:rsidRPr="007E3619">
        <w:rPr>
          <w:b/>
        </w:rPr>
        <w:t>normelor</w:t>
      </w:r>
      <w:proofErr w:type="spellEnd"/>
      <w:r w:rsidRPr="007E3619">
        <w:rPr>
          <w:b/>
        </w:rPr>
        <w:t xml:space="preserve"> de </w:t>
      </w:r>
      <w:proofErr w:type="spellStart"/>
      <w:r w:rsidRPr="007E3619">
        <w:rPr>
          <w:b/>
        </w:rPr>
        <w:t>aplicare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acesteia</w:t>
      </w:r>
      <w:proofErr w:type="spellEnd"/>
      <w:r w:rsidRPr="007E3619">
        <w:rPr>
          <w:b/>
        </w:rPr>
        <w:t xml:space="preserve">, </w:t>
      </w:r>
      <w:proofErr w:type="spellStart"/>
      <w:r w:rsidRPr="007E3619">
        <w:rPr>
          <w:b/>
        </w:rPr>
        <w:t>precum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sancțiunilor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contravenționale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și</w:t>
      </w:r>
      <w:proofErr w:type="spellEnd"/>
      <w:r w:rsidRPr="007E3619">
        <w:rPr>
          <w:b/>
        </w:rPr>
        <w:t xml:space="preserve"> a </w:t>
      </w:r>
      <w:proofErr w:type="spellStart"/>
      <w:r w:rsidRPr="007E3619">
        <w:rPr>
          <w:b/>
        </w:rPr>
        <w:t>altor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măsuri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aferente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aplicabile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în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cazul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constatării</w:t>
      </w:r>
      <w:proofErr w:type="spellEnd"/>
      <w:r w:rsidRPr="007E3619">
        <w:rPr>
          <w:b/>
        </w:rPr>
        <w:t xml:space="preserve"> </w:t>
      </w:r>
      <w:proofErr w:type="spellStart"/>
      <w:r w:rsidRPr="007E3619">
        <w:rPr>
          <w:b/>
        </w:rPr>
        <w:t>încălcărilor</w:t>
      </w:r>
      <w:proofErr w:type="spellEnd"/>
      <w:r w:rsidRPr="007E3619">
        <w:t xml:space="preserve">, care, </w:t>
      </w:r>
      <w:proofErr w:type="spellStart"/>
      <w:r w:rsidRPr="007E3619">
        <w:t>în</w:t>
      </w:r>
      <w:proofErr w:type="spellEnd"/>
      <w:r w:rsidRPr="007E3619">
        <w:t xml:space="preserve"> forma </w:t>
      </w:r>
      <w:proofErr w:type="spellStart"/>
      <w:r w:rsidRPr="007E3619">
        <w:t>prezentată</w:t>
      </w:r>
      <w:proofErr w:type="spellEnd"/>
      <w:r w:rsidRPr="007E3619">
        <w:t xml:space="preserve">, a </w:t>
      </w:r>
      <w:proofErr w:type="spellStart"/>
      <w:r w:rsidRPr="007E3619">
        <w:t>fost</w:t>
      </w:r>
      <w:proofErr w:type="spellEnd"/>
      <w:r w:rsidRPr="007E3619">
        <w:t xml:space="preserve"> </w:t>
      </w:r>
      <w:proofErr w:type="spellStart"/>
      <w:r w:rsidRPr="007E3619">
        <w:t>avizat</w:t>
      </w:r>
      <w:proofErr w:type="spellEnd"/>
      <w:r w:rsidRPr="007E3619">
        <w:t xml:space="preserve"> de </w:t>
      </w:r>
      <w:proofErr w:type="spellStart"/>
      <w:r w:rsidRPr="007E3619">
        <w:t>ministerele</w:t>
      </w:r>
      <w:proofErr w:type="spellEnd"/>
      <w:r w:rsidRPr="007E3619">
        <w:t xml:space="preserve"> </w:t>
      </w:r>
      <w:proofErr w:type="spellStart"/>
      <w:r w:rsidRPr="007E3619">
        <w:t>interesate</w:t>
      </w:r>
      <w:proofErr w:type="spellEnd"/>
      <w:r w:rsidRPr="007E3619">
        <w:t xml:space="preserve"> </w:t>
      </w:r>
      <w:proofErr w:type="spellStart"/>
      <w:r w:rsidRPr="007E3619">
        <w:t>şi</w:t>
      </w:r>
      <w:proofErr w:type="spellEnd"/>
      <w:r w:rsidRPr="007E3619">
        <w:t xml:space="preserve"> </w:t>
      </w:r>
      <w:proofErr w:type="spellStart"/>
      <w:r w:rsidRPr="007E3619">
        <w:t>pe</w:t>
      </w:r>
      <w:proofErr w:type="spellEnd"/>
      <w:r w:rsidRPr="007E3619">
        <w:t xml:space="preserve"> care </w:t>
      </w:r>
      <w:proofErr w:type="spellStart"/>
      <w:r w:rsidRPr="007E3619">
        <w:t>îl</w:t>
      </w:r>
      <w:proofErr w:type="spellEnd"/>
      <w:r w:rsidRPr="007E3619">
        <w:t xml:space="preserve"> </w:t>
      </w:r>
      <w:proofErr w:type="spellStart"/>
      <w:r w:rsidRPr="007E3619">
        <w:t>supunem</w:t>
      </w:r>
      <w:proofErr w:type="spellEnd"/>
      <w:r w:rsidRPr="007E3619">
        <w:t xml:space="preserve"> </w:t>
      </w:r>
      <w:proofErr w:type="spellStart"/>
      <w:r w:rsidRPr="007E3619">
        <w:t>spre</w:t>
      </w:r>
      <w:proofErr w:type="spellEnd"/>
      <w:r w:rsidRPr="007E3619">
        <w:t xml:space="preserve"> </w:t>
      </w:r>
      <w:proofErr w:type="spellStart"/>
      <w:r w:rsidRPr="007E3619">
        <w:t>aprobare</w:t>
      </w:r>
      <w:proofErr w:type="spellEnd"/>
      <w:r w:rsidRPr="007E3619">
        <w:t>.</w:t>
      </w:r>
    </w:p>
    <w:p w14:paraId="18B938AC" w14:textId="77777777" w:rsidR="00847032" w:rsidRDefault="00847032" w:rsidP="00A74986">
      <w:pPr>
        <w:ind w:firstLine="567"/>
        <w:jc w:val="both"/>
      </w:pPr>
    </w:p>
    <w:p w14:paraId="14BFD9AE" w14:textId="77777777" w:rsidR="00847032" w:rsidRPr="007E3619" w:rsidRDefault="00847032" w:rsidP="00A74986">
      <w:pPr>
        <w:ind w:firstLine="567"/>
        <w:jc w:val="both"/>
      </w:pPr>
    </w:p>
    <w:p w14:paraId="5B7847BD" w14:textId="77777777" w:rsidR="00A74986" w:rsidRPr="007E3619" w:rsidRDefault="00A74986" w:rsidP="00A74986">
      <w:pPr>
        <w:jc w:val="both"/>
      </w:pPr>
    </w:p>
    <w:p w14:paraId="30650A15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MINISTRUL TRANSPORTURILOR ȘI INFRASTRUCTURII</w:t>
      </w:r>
    </w:p>
    <w:p w14:paraId="2F409B1A" w14:textId="77777777" w:rsidR="00A74986" w:rsidRPr="007E3619" w:rsidRDefault="00A74986" w:rsidP="00A74986">
      <w:pPr>
        <w:tabs>
          <w:tab w:val="left" w:pos="5103"/>
        </w:tabs>
        <w:ind w:left="5386" w:hanging="5386"/>
        <w:jc w:val="center"/>
        <w:rPr>
          <w:b/>
        </w:rPr>
      </w:pPr>
      <w:r w:rsidRPr="007E3619">
        <w:rPr>
          <w:b/>
        </w:rPr>
        <w:t>SORIN MIHAI GRINDEANU</w:t>
      </w:r>
    </w:p>
    <w:p w14:paraId="5C8AF542" w14:textId="77777777" w:rsidR="00A74986" w:rsidRPr="007E3619" w:rsidRDefault="00A74986" w:rsidP="00A74986">
      <w:pPr>
        <w:tabs>
          <w:tab w:val="left" w:pos="5103"/>
        </w:tabs>
        <w:ind w:left="5103" w:hanging="5387"/>
        <w:jc w:val="center"/>
        <w:rPr>
          <w:b/>
        </w:rPr>
      </w:pPr>
    </w:p>
    <w:p w14:paraId="59EFC363" w14:textId="77777777" w:rsidR="00A74986" w:rsidRPr="007E3619" w:rsidRDefault="00A74986" w:rsidP="00A74986">
      <w:pPr>
        <w:tabs>
          <w:tab w:val="left" w:pos="5103"/>
        </w:tabs>
        <w:ind w:left="5103" w:hanging="5387"/>
        <w:jc w:val="center"/>
        <w:rPr>
          <w:b/>
        </w:rPr>
      </w:pPr>
    </w:p>
    <w:p w14:paraId="2CA7E74E" w14:textId="77777777" w:rsidR="00A74986" w:rsidRPr="007E3619" w:rsidRDefault="00A74986" w:rsidP="00A74986">
      <w:pPr>
        <w:tabs>
          <w:tab w:val="left" w:pos="5103"/>
        </w:tabs>
        <w:rPr>
          <w:b/>
        </w:rPr>
      </w:pPr>
    </w:p>
    <w:p w14:paraId="40615A0D" w14:textId="234D1BEF" w:rsidR="00A74986" w:rsidRPr="007E3619" w:rsidRDefault="00A74986" w:rsidP="00A74986">
      <w:pPr>
        <w:tabs>
          <w:tab w:val="left" w:pos="5103"/>
        </w:tabs>
        <w:ind w:left="5103" w:hanging="5387"/>
        <w:jc w:val="center"/>
        <w:rPr>
          <w:b/>
        </w:rPr>
      </w:pPr>
      <w:r w:rsidRPr="007E3619">
        <w:rPr>
          <w:b/>
        </w:rPr>
        <w:t>AVIZĂM:</w:t>
      </w:r>
    </w:p>
    <w:p w14:paraId="71C87FD5" w14:textId="77777777" w:rsidR="00A74986" w:rsidRPr="007E3619" w:rsidRDefault="00A74986" w:rsidP="00A74986">
      <w:pPr>
        <w:tabs>
          <w:tab w:val="left" w:pos="5103"/>
        </w:tabs>
        <w:ind w:left="5103" w:hanging="5387"/>
        <w:rPr>
          <w:b/>
        </w:rPr>
      </w:pPr>
    </w:p>
    <w:p w14:paraId="33DD09C9" w14:textId="77777777" w:rsidR="00A74986" w:rsidRPr="007E3619" w:rsidRDefault="00A74986" w:rsidP="00A74986">
      <w:pPr>
        <w:tabs>
          <w:tab w:val="left" w:pos="5103"/>
        </w:tabs>
        <w:ind w:left="5103" w:hanging="5387"/>
        <w:jc w:val="center"/>
        <w:rPr>
          <w:b/>
        </w:rPr>
      </w:pPr>
      <w:r w:rsidRPr="007E3619">
        <w:rPr>
          <w:b/>
        </w:rPr>
        <w:t>VICEPRIM-MINISTRU, MINISTRUL AFACERILOR INTERNE</w:t>
      </w:r>
    </w:p>
    <w:p w14:paraId="41CD4427" w14:textId="77777777" w:rsidR="00A74986" w:rsidRPr="007E3619" w:rsidRDefault="00A74986" w:rsidP="00A74986">
      <w:pPr>
        <w:tabs>
          <w:tab w:val="left" w:pos="5103"/>
        </w:tabs>
        <w:ind w:left="5103" w:hanging="5387"/>
        <w:jc w:val="center"/>
        <w:rPr>
          <w:b/>
        </w:rPr>
      </w:pPr>
      <w:r w:rsidRPr="007E3619">
        <w:rPr>
          <w:b/>
        </w:rPr>
        <w:t>MARIAN – CĂTĂLIN PREDOIU</w:t>
      </w:r>
    </w:p>
    <w:p w14:paraId="7ABC67BA" w14:textId="77777777" w:rsidR="00A74986" w:rsidRPr="007E3619" w:rsidRDefault="00A74986" w:rsidP="00A74986">
      <w:pPr>
        <w:tabs>
          <w:tab w:val="left" w:pos="5103"/>
        </w:tabs>
        <w:ind w:left="5103" w:hanging="5387"/>
        <w:jc w:val="center"/>
        <w:rPr>
          <w:b/>
        </w:rPr>
      </w:pPr>
    </w:p>
    <w:p w14:paraId="28E4496D" w14:textId="77777777" w:rsidR="00A74986" w:rsidRPr="007E3619" w:rsidRDefault="00A74986" w:rsidP="00A74986">
      <w:pPr>
        <w:tabs>
          <w:tab w:val="left" w:pos="5103"/>
        </w:tabs>
        <w:ind w:left="5103" w:hanging="5387"/>
        <w:jc w:val="center"/>
        <w:rPr>
          <w:b/>
        </w:rPr>
      </w:pPr>
    </w:p>
    <w:p w14:paraId="6310DE2C" w14:textId="77777777" w:rsidR="00A74986" w:rsidRPr="007E3619" w:rsidRDefault="00A74986" w:rsidP="00A74986"/>
    <w:p w14:paraId="192827B6" w14:textId="77777777" w:rsidR="00A74986" w:rsidRPr="007E3619" w:rsidRDefault="00A74986" w:rsidP="00A74986">
      <w:pPr>
        <w:jc w:val="center"/>
        <w:rPr>
          <w:b/>
        </w:rPr>
      </w:pPr>
      <w:r w:rsidRPr="007E3619">
        <w:rPr>
          <w:b/>
        </w:rPr>
        <w:t>MINISTRUL MUNCII ȘI SOLIDARITĂȚII SOCIALE</w:t>
      </w:r>
    </w:p>
    <w:p w14:paraId="34882FE8" w14:textId="77777777" w:rsidR="00A74986" w:rsidRPr="007E3619" w:rsidRDefault="00A74986" w:rsidP="00A74986">
      <w:pPr>
        <w:jc w:val="center"/>
        <w:rPr>
          <w:b/>
        </w:rPr>
      </w:pPr>
      <w:r w:rsidRPr="007E3619">
        <w:rPr>
          <w:b/>
        </w:rPr>
        <w:t>SIMONA BUCURA – OPRESCU</w:t>
      </w:r>
    </w:p>
    <w:p w14:paraId="67A2B95C" w14:textId="77777777" w:rsidR="00A74986" w:rsidRPr="007E3619" w:rsidRDefault="00A74986" w:rsidP="00A74986">
      <w:pPr>
        <w:jc w:val="center"/>
        <w:rPr>
          <w:b/>
        </w:rPr>
      </w:pPr>
    </w:p>
    <w:p w14:paraId="68ADF5B5" w14:textId="77777777" w:rsidR="00A74986" w:rsidRPr="007E3619" w:rsidRDefault="00A74986" w:rsidP="00A74986">
      <w:pPr>
        <w:jc w:val="center"/>
        <w:rPr>
          <w:b/>
        </w:rPr>
      </w:pPr>
    </w:p>
    <w:p w14:paraId="52125F82" w14:textId="77777777" w:rsidR="00A74986" w:rsidRPr="007E3619" w:rsidRDefault="00A74986" w:rsidP="00A74986"/>
    <w:p w14:paraId="25E6ECBF" w14:textId="78FD4050" w:rsidR="00A74986" w:rsidRPr="007E3619" w:rsidRDefault="00A74986" w:rsidP="00A74986">
      <w:pPr>
        <w:jc w:val="center"/>
        <w:rPr>
          <w:b/>
          <w:bCs/>
          <w:color w:val="000000"/>
        </w:rPr>
      </w:pPr>
      <w:r w:rsidRPr="007E3619">
        <w:rPr>
          <w:b/>
          <w:bCs/>
        </w:rPr>
        <w:t>MINISTRUL FINANŢELOR</w:t>
      </w:r>
    </w:p>
    <w:p w14:paraId="27153228" w14:textId="26993F5D" w:rsidR="00A74986" w:rsidRPr="007E3619" w:rsidRDefault="00A74986" w:rsidP="00A74986">
      <w:pPr>
        <w:jc w:val="center"/>
        <w:rPr>
          <w:b/>
          <w:bCs/>
          <w:color w:val="000000"/>
        </w:rPr>
      </w:pPr>
      <w:r w:rsidRPr="007E3619">
        <w:rPr>
          <w:b/>
          <w:bCs/>
          <w:color w:val="000000"/>
        </w:rPr>
        <w:t>IOAN-MARCEL BOLOȘ</w:t>
      </w:r>
    </w:p>
    <w:p w14:paraId="7331E90B" w14:textId="77777777" w:rsidR="00A74986" w:rsidRPr="007E3619" w:rsidRDefault="00A74986" w:rsidP="00A74986">
      <w:pPr>
        <w:rPr>
          <w:b/>
          <w:bCs/>
          <w:color w:val="000000"/>
        </w:rPr>
      </w:pPr>
    </w:p>
    <w:p w14:paraId="5CC633E5" w14:textId="77777777" w:rsidR="00A74986" w:rsidRPr="007E3619" w:rsidRDefault="00A74986" w:rsidP="00A74986">
      <w:pPr>
        <w:rPr>
          <w:b/>
          <w:bCs/>
          <w:color w:val="000000"/>
        </w:rPr>
      </w:pPr>
    </w:p>
    <w:p w14:paraId="358C9AEC" w14:textId="77777777" w:rsidR="00A74986" w:rsidRPr="007E3619" w:rsidRDefault="00A74986" w:rsidP="00A74986">
      <w:pPr>
        <w:rPr>
          <w:b/>
          <w:bCs/>
          <w:color w:val="000000"/>
        </w:rPr>
      </w:pPr>
    </w:p>
    <w:p w14:paraId="6E201C89" w14:textId="77777777" w:rsidR="00A74986" w:rsidRPr="007E3619" w:rsidRDefault="00A74986" w:rsidP="00A74986">
      <w:pPr>
        <w:jc w:val="center"/>
        <w:rPr>
          <w:b/>
          <w:bCs/>
          <w:color w:val="000000"/>
        </w:rPr>
      </w:pPr>
      <w:r w:rsidRPr="007E3619">
        <w:rPr>
          <w:b/>
          <w:bCs/>
          <w:color w:val="000000"/>
        </w:rPr>
        <w:t>MINISTRUL AFACERILOR EXTERNE</w:t>
      </w:r>
    </w:p>
    <w:p w14:paraId="60F39493" w14:textId="77777777" w:rsidR="00A74986" w:rsidRPr="007E3619" w:rsidRDefault="00A74986" w:rsidP="00A74986">
      <w:pPr>
        <w:jc w:val="center"/>
        <w:rPr>
          <w:b/>
          <w:bCs/>
          <w:color w:val="000000"/>
        </w:rPr>
      </w:pPr>
      <w:r w:rsidRPr="007E3619">
        <w:rPr>
          <w:b/>
          <w:bCs/>
          <w:color w:val="000000"/>
        </w:rPr>
        <w:t>LUMINIȚA – TEODORA ODOBESCU</w:t>
      </w:r>
    </w:p>
    <w:p w14:paraId="7B97BF50" w14:textId="77777777" w:rsidR="00A74986" w:rsidRPr="007E3619" w:rsidRDefault="00A74986" w:rsidP="00A74986">
      <w:pPr>
        <w:jc w:val="center"/>
        <w:rPr>
          <w:b/>
          <w:bCs/>
          <w:color w:val="000000"/>
        </w:rPr>
      </w:pPr>
    </w:p>
    <w:p w14:paraId="3BDE02A8" w14:textId="77777777" w:rsidR="00A74986" w:rsidRPr="007E3619" w:rsidRDefault="00A74986" w:rsidP="00A74986">
      <w:pPr>
        <w:rPr>
          <w:b/>
          <w:bCs/>
          <w:color w:val="000000"/>
        </w:rPr>
      </w:pPr>
    </w:p>
    <w:p w14:paraId="4F18AC1D" w14:textId="77777777" w:rsidR="00A74986" w:rsidRPr="007E3619" w:rsidRDefault="00A74986" w:rsidP="00A74986">
      <w:pPr>
        <w:rPr>
          <w:b/>
          <w:bCs/>
          <w:color w:val="000000"/>
        </w:rPr>
      </w:pPr>
    </w:p>
    <w:p w14:paraId="008FC083" w14:textId="77777777" w:rsidR="00A74986" w:rsidRPr="007E3619" w:rsidRDefault="00A74986" w:rsidP="00A74986">
      <w:pPr>
        <w:jc w:val="center"/>
        <w:rPr>
          <w:b/>
          <w:bCs/>
          <w:color w:val="000000"/>
        </w:rPr>
      </w:pPr>
      <w:r w:rsidRPr="007E3619">
        <w:rPr>
          <w:b/>
          <w:bCs/>
          <w:color w:val="000000"/>
        </w:rPr>
        <w:t>MINISTRUL JUSTIŢIEI</w:t>
      </w:r>
    </w:p>
    <w:p w14:paraId="25D90B40" w14:textId="5FD35012" w:rsidR="00A74986" w:rsidRPr="007E3619" w:rsidRDefault="00A74986" w:rsidP="00A74986">
      <w:pPr>
        <w:jc w:val="center"/>
        <w:rPr>
          <w:b/>
          <w:bCs/>
          <w:color w:val="000000"/>
        </w:rPr>
      </w:pPr>
      <w:r w:rsidRPr="007E3619">
        <w:rPr>
          <w:b/>
          <w:bCs/>
          <w:color w:val="000000"/>
        </w:rPr>
        <w:t>ALINA-ȘTEFANIA GORGHIU</w:t>
      </w:r>
    </w:p>
    <w:p w14:paraId="7422D65D" w14:textId="77777777" w:rsidR="00A74986" w:rsidRPr="007E3619" w:rsidRDefault="00A74986" w:rsidP="00A74986">
      <w:pPr>
        <w:jc w:val="center"/>
        <w:rPr>
          <w:b/>
          <w:bCs/>
          <w:color w:val="000000"/>
        </w:rPr>
      </w:pPr>
    </w:p>
    <w:p w14:paraId="7786B3D4" w14:textId="77777777" w:rsidR="00A74986" w:rsidRPr="007E3619" w:rsidRDefault="00A74986" w:rsidP="00A74986">
      <w:pPr>
        <w:jc w:val="center"/>
        <w:rPr>
          <w:b/>
          <w:bCs/>
          <w:color w:val="000000"/>
        </w:rPr>
      </w:pPr>
    </w:p>
    <w:p w14:paraId="05ADCA93" w14:textId="77777777" w:rsidR="00A74986" w:rsidRPr="007E3619" w:rsidRDefault="00A74986" w:rsidP="00A74986">
      <w:pPr>
        <w:jc w:val="center"/>
        <w:rPr>
          <w:b/>
          <w:bCs/>
          <w:color w:val="000000"/>
        </w:rPr>
      </w:pPr>
    </w:p>
    <w:p w14:paraId="774114EF" w14:textId="77777777" w:rsidR="00A74986" w:rsidRPr="007E3619" w:rsidRDefault="00A74986" w:rsidP="00A74986">
      <w:pPr>
        <w:jc w:val="center"/>
        <w:rPr>
          <w:b/>
          <w:bCs/>
          <w:color w:val="000000"/>
        </w:rPr>
      </w:pPr>
    </w:p>
    <w:p w14:paraId="16CD031F" w14:textId="77777777" w:rsidR="00A74986" w:rsidRPr="007E3619" w:rsidRDefault="00A74986" w:rsidP="00A74986">
      <w:pPr>
        <w:jc w:val="center"/>
        <w:rPr>
          <w:b/>
          <w:bCs/>
          <w:color w:val="000000"/>
        </w:rPr>
      </w:pPr>
    </w:p>
    <w:p w14:paraId="51FD7E1F" w14:textId="77777777" w:rsidR="00A74986" w:rsidRPr="007E3619" w:rsidRDefault="00A74986" w:rsidP="00A74986">
      <w:pPr>
        <w:jc w:val="center"/>
        <w:rPr>
          <w:b/>
          <w:bCs/>
          <w:color w:val="000000"/>
        </w:rPr>
      </w:pPr>
    </w:p>
    <w:p w14:paraId="0EF319D9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lastRenderedPageBreak/>
        <w:t>SECRETAR DE STAT</w:t>
      </w:r>
    </w:p>
    <w:p w14:paraId="1F336104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ADRIAN – GEORGE FOGHIȘ</w:t>
      </w:r>
    </w:p>
    <w:p w14:paraId="111D9F5D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38775C25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5616DB78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68614788" w14:textId="015DDE8B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 xml:space="preserve"> </w:t>
      </w:r>
      <w:r w:rsidRPr="007E3619">
        <w:rPr>
          <w:b/>
        </w:rPr>
        <w:t>SECRETAR GENERAL</w:t>
      </w:r>
    </w:p>
    <w:p w14:paraId="77022D94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MARIANA IONIȚĂ</w:t>
      </w:r>
    </w:p>
    <w:p w14:paraId="299B8CAA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4F702003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1B88ED28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6EFED7BE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41A7876A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5302BCDB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 xml:space="preserve">   SECRETAR GENERAL ADJUNCT</w:t>
      </w:r>
    </w:p>
    <w:p w14:paraId="2B14051C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ADRIAN-DANIEL GAVRUȚA</w:t>
      </w:r>
    </w:p>
    <w:p w14:paraId="3A14DE10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4D97CBF3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537815B3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40E5477F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36F4BA50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659C6D78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DIRECŢIA GENERALĂ JURIDICĂ</w:t>
      </w:r>
    </w:p>
    <w:p w14:paraId="3D208FB4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Director General</w:t>
      </w:r>
    </w:p>
    <w:p w14:paraId="2535B094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MARIUS TOADER</w:t>
      </w:r>
    </w:p>
    <w:p w14:paraId="17C3DC7C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4FEE35CC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0092A828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1549C03B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496045AA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0D5D72E0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DIRECŢIA ECONOMICĂ</w:t>
      </w:r>
    </w:p>
    <w:p w14:paraId="550CAA94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Director</w:t>
      </w:r>
    </w:p>
    <w:p w14:paraId="61F8DA3D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LAURA DIANA GÎRLĂ</w:t>
      </w:r>
    </w:p>
    <w:p w14:paraId="22D93446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01B71A4E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6878D0A4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7DE90728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6FC489BB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 xml:space="preserve">             DIRECȚIA AFACERI EUROPENE ȘI RELAȚII INTERNAȚIONALE</w:t>
      </w:r>
    </w:p>
    <w:p w14:paraId="61E4C30B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Director</w:t>
      </w:r>
    </w:p>
    <w:p w14:paraId="201B5D6E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 xml:space="preserve">   GABRIELA SÎRBU</w:t>
      </w:r>
    </w:p>
    <w:p w14:paraId="54DC1608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1A461F47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0F2AAFA0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73A055E1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690B80E3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795C70E2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DIRECŢIA RANSPORT RUTIER</w:t>
      </w:r>
    </w:p>
    <w:p w14:paraId="6A6387EF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Director</w:t>
      </w:r>
    </w:p>
    <w:p w14:paraId="0762C327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  <w:r w:rsidRPr="007E3619">
        <w:rPr>
          <w:b/>
        </w:rPr>
        <w:t>ADRIANA KALAPIS</w:t>
      </w:r>
    </w:p>
    <w:p w14:paraId="72E57526" w14:textId="77777777" w:rsidR="00A74986" w:rsidRPr="007E3619" w:rsidRDefault="00A74986" w:rsidP="00A74986">
      <w:pPr>
        <w:tabs>
          <w:tab w:val="left" w:pos="5103"/>
        </w:tabs>
        <w:jc w:val="center"/>
        <w:rPr>
          <w:b/>
        </w:rPr>
      </w:pPr>
    </w:p>
    <w:p w14:paraId="04DC5E81" w14:textId="77777777" w:rsidR="00A74986" w:rsidRPr="00A74986" w:rsidRDefault="00A74986" w:rsidP="00A74986">
      <w:pPr>
        <w:tabs>
          <w:tab w:val="left" w:pos="5103"/>
        </w:tabs>
        <w:jc w:val="center"/>
        <w:rPr>
          <w:rFonts w:ascii="Trebuchet MS" w:hAnsi="Trebuchet MS"/>
          <w:b/>
        </w:rPr>
      </w:pPr>
    </w:p>
    <w:p w14:paraId="34F2D26A" w14:textId="77777777" w:rsidR="004E1A90" w:rsidRPr="00A74986" w:rsidRDefault="004E1A90" w:rsidP="00A74986">
      <w:pPr>
        <w:tabs>
          <w:tab w:val="left" w:pos="5103"/>
        </w:tabs>
        <w:jc w:val="center"/>
        <w:rPr>
          <w:rFonts w:ascii="Trebuchet MS" w:hAnsi="Trebuchet MS"/>
          <w:b/>
        </w:rPr>
      </w:pPr>
    </w:p>
    <w:p w14:paraId="3C79E925" w14:textId="77777777" w:rsidR="004E1A90" w:rsidRPr="00A74986" w:rsidRDefault="004E1A90" w:rsidP="00A74986">
      <w:pPr>
        <w:tabs>
          <w:tab w:val="left" w:pos="5103"/>
        </w:tabs>
        <w:jc w:val="center"/>
        <w:rPr>
          <w:rFonts w:ascii="Trebuchet MS" w:hAnsi="Trebuchet MS"/>
          <w:b/>
        </w:rPr>
      </w:pPr>
    </w:p>
    <w:p w14:paraId="7EDA8553" w14:textId="77777777" w:rsidR="004E1A90" w:rsidRPr="00A74986" w:rsidRDefault="004E1A90" w:rsidP="00A74986">
      <w:pPr>
        <w:tabs>
          <w:tab w:val="left" w:pos="5103"/>
        </w:tabs>
        <w:jc w:val="center"/>
        <w:rPr>
          <w:rFonts w:ascii="Trebuchet MS" w:hAnsi="Trebuchet MS"/>
          <w:b/>
        </w:rPr>
      </w:pPr>
    </w:p>
    <w:p w14:paraId="63FD8352" w14:textId="77777777" w:rsidR="004E1A90" w:rsidRPr="00A74986" w:rsidRDefault="004E1A90" w:rsidP="00A74986">
      <w:pPr>
        <w:tabs>
          <w:tab w:val="left" w:pos="5103"/>
        </w:tabs>
        <w:jc w:val="center"/>
        <w:rPr>
          <w:rFonts w:ascii="Trebuchet MS" w:hAnsi="Trebuchet MS"/>
          <w:b/>
        </w:rPr>
      </w:pPr>
    </w:p>
    <w:p w14:paraId="37A673B0" w14:textId="77777777" w:rsidR="00796165" w:rsidRPr="00A74986" w:rsidRDefault="00796165" w:rsidP="00A74986">
      <w:pPr>
        <w:tabs>
          <w:tab w:val="left" w:pos="5103"/>
        </w:tabs>
        <w:jc w:val="center"/>
        <w:rPr>
          <w:rFonts w:ascii="Trebuchet MS" w:hAnsi="Trebuchet MS"/>
          <w:b/>
        </w:rPr>
      </w:pPr>
    </w:p>
    <w:p w14:paraId="63CB6648" w14:textId="77777777" w:rsidR="004E1A90" w:rsidRDefault="004E1A90" w:rsidP="00466D4E">
      <w:pPr>
        <w:rPr>
          <w:lang w:val="pt-BR"/>
        </w:rPr>
      </w:pPr>
    </w:p>
    <w:sectPr w:rsidR="004E1A90">
      <w:headerReference w:type="default" r:id="rId8"/>
      <w:footerReference w:type="default" r:id="rId9"/>
      <w:pgSz w:w="11906" w:h="16838"/>
      <w:pgMar w:top="777" w:right="1253" w:bottom="720" w:left="158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E9980" w14:textId="77777777" w:rsidR="00D400B1" w:rsidRDefault="00D400B1">
      <w:r>
        <w:separator/>
      </w:r>
    </w:p>
  </w:endnote>
  <w:endnote w:type="continuationSeparator" w:id="0">
    <w:p w14:paraId="63A34D34" w14:textId="77777777" w:rsidR="00D400B1" w:rsidRDefault="00D4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907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DA068" w14:textId="77777777" w:rsidR="00572EB5" w:rsidRDefault="00572E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68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8AF6D74" w14:textId="77777777" w:rsidR="00572EB5" w:rsidRDefault="00572E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F2676" w14:textId="77777777" w:rsidR="00D400B1" w:rsidRDefault="00D400B1">
      <w:r>
        <w:separator/>
      </w:r>
    </w:p>
  </w:footnote>
  <w:footnote w:type="continuationSeparator" w:id="0">
    <w:p w14:paraId="7A27126D" w14:textId="77777777" w:rsidR="00D400B1" w:rsidRDefault="00D4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03F3" w14:textId="77777777" w:rsidR="00AF7238" w:rsidRDefault="00AF7238">
    <w:pPr>
      <w:pStyle w:val="Header"/>
      <w:rPr>
        <w:sz w:val="28"/>
      </w:rPr>
    </w:pPr>
    <w:r>
      <w:tab/>
    </w:r>
    <w:r>
      <w:tab/>
    </w:r>
  </w:p>
  <w:p w14:paraId="671E4742" w14:textId="77777777" w:rsidR="00AF7238" w:rsidRDefault="00AF7238">
    <w:pPr>
      <w:pStyle w:val="Header"/>
      <w:tabs>
        <w:tab w:val="clear" w:pos="4320"/>
        <w:tab w:val="clear" w:pos="8640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021"/>
    <w:multiLevelType w:val="hybridMultilevel"/>
    <w:tmpl w:val="1F6A7236"/>
    <w:lvl w:ilvl="0" w:tplc="104462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D6BBD"/>
    <w:multiLevelType w:val="hybridMultilevel"/>
    <w:tmpl w:val="F1C48B7C"/>
    <w:lvl w:ilvl="0" w:tplc="CCAEB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76F"/>
    <w:multiLevelType w:val="hybridMultilevel"/>
    <w:tmpl w:val="D3E80B3E"/>
    <w:lvl w:ilvl="0" w:tplc="69124C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D3084"/>
    <w:multiLevelType w:val="hybridMultilevel"/>
    <w:tmpl w:val="E0CC6E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75"/>
    <w:rsid w:val="00030A18"/>
    <w:rsid w:val="00037B52"/>
    <w:rsid w:val="00040305"/>
    <w:rsid w:val="0004162E"/>
    <w:rsid w:val="000424C0"/>
    <w:rsid w:val="00074811"/>
    <w:rsid w:val="00082834"/>
    <w:rsid w:val="0008286F"/>
    <w:rsid w:val="00085515"/>
    <w:rsid w:val="000859B8"/>
    <w:rsid w:val="000868DA"/>
    <w:rsid w:val="000B47B3"/>
    <w:rsid w:val="000B7770"/>
    <w:rsid w:val="000C3B5D"/>
    <w:rsid w:val="000C3CF7"/>
    <w:rsid w:val="000E01E2"/>
    <w:rsid w:val="00102F5B"/>
    <w:rsid w:val="00103AC3"/>
    <w:rsid w:val="00103AF9"/>
    <w:rsid w:val="00115EBA"/>
    <w:rsid w:val="00115F7E"/>
    <w:rsid w:val="0014201C"/>
    <w:rsid w:val="0014247A"/>
    <w:rsid w:val="001450E7"/>
    <w:rsid w:val="0014574E"/>
    <w:rsid w:val="00151BE8"/>
    <w:rsid w:val="001732B7"/>
    <w:rsid w:val="0018208C"/>
    <w:rsid w:val="00187916"/>
    <w:rsid w:val="0019114C"/>
    <w:rsid w:val="00197C76"/>
    <w:rsid w:val="001A5B83"/>
    <w:rsid w:val="001C6E9E"/>
    <w:rsid w:val="001F413E"/>
    <w:rsid w:val="002012D8"/>
    <w:rsid w:val="002054BA"/>
    <w:rsid w:val="00206DA4"/>
    <w:rsid w:val="00211C17"/>
    <w:rsid w:val="00231B9C"/>
    <w:rsid w:val="00243D17"/>
    <w:rsid w:val="00271693"/>
    <w:rsid w:val="00291869"/>
    <w:rsid w:val="00292438"/>
    <w:rsid w:val="00293997"/>
    <w:rsid w:val="002A0D6C"/>
    <w:rsid w:val="002E2313"/>
    <w:rsid w:val="002E5C14"/>
    <w:rsid w:val="003167A1"/>
    <w:rsid w:val="0031695A"/>
    <w:rsid w:val="003170FE"/>
    <w:rsid w:val="00352488"/>
    <w:rsid w:val="00354BFE"/>
    <w:rsid w:val="003643AB"/>
    <w:rsid w:val="003710F5"/>
    <w:rsid w:val="003737E6"/>
    <w:rsid w:val="00374DBC"/>
    <w:rsid w:val="00386B25"/>
    <w:rsid w:val="003A2358"/>
    <w:rsid w:val="003B78CB"/>
    <w:rsid w:val="003C6859"/>
    <w:rsid w:val="003E375C"/>
    <w:rsid w:val="00420F89"/>
    <w:rsid w:val="00430B66"/>
    <w:rsid w:val="00436C71"/>
    <w:rsid w:val="004431CA"/>
    <w:rsid w:val="004570A7"/>
    <w:rsid w:val="00460FC6"/>
    <w:rsid w:val="00466560"/>
    <w:rsid w:val="00466D4E"/>
    <w:rsid w:val="0047273E"/>
    <w:rsid w:val="004A11F3"/>
    <w:rsid w:val="004B7633"/>
    <w:rsid w:val="004D1F8E"/>
    <w:rsid w:val="004E1A90"/>
    <w:rsid w:val="00506C71"/>
    <w:rsid w:val="00514626"/>
    <w:rsid w:val="00523B5B"/>
    <w:rsid w:val="00532CFF"/>
    <w:rsid w:val="005418F2"/>
    <w:rsid w:val="00571969"/>
    <w:rsid w:val="00572EB5"/>
    <w:rsid w:val="00576174"/>
    <w:rsid w:val="00586B6E"/>
    <w:rsid w:val="005C348B"/>
    <w:rsid w:val="00610246"/>
    <w:rsid w:val="00611F5B"/>
    <w:rsid w:val="006338E7"/>
    <w:rsid w:val="00636530"/>
    <w:rsid w:val="006460F3"/>
    <w:rsid w:val="006609AC"/>
    <w:rsid w:val="00661A72"/>
    <w:rsid w:val="00664205"/>
    <w:rsid w:val="006642F0"/>
    <w:rsid w:val="00676F27"/>
    <w:rsid w:val="00687F52"/>
    <w:rsid w:val="00691D75"/>
    <w:rsid w:val="006A726B"/>
    <w:rsid w:val="006C3D62"/>
    <w:rsid w:val="006C776C"/>
    <w:rsid w:val="006F4D98"/>
    <w:rsid w:val="007011A7"/>
    <w:rsid w:val="007153E1"/>
    <w:rsid w:val="007162E5"/>
    <w:rsid w:val="00731FF4"/>
    <w:rsid w:val="007403F6"/>
    <w:rsid w:val="00753BC5"/>
    <w:rsid w:val="00766D97"/>
    <w:rsid w:val="00783A5C"/>
    <w:rsid w:val="00796165"/>
    <w:rsid w:val="007A1953"/>
    <w:rsid w:val="007A7EE7"/>
    <w:rsid w:val="007C7CBA"/>
    <w:rsid w:val="007E3619"/>
    <w:rsid w:val="007E48A1"/>
    <w:rsid w:val="007F7316"/>
    <w:rsid w:val="008025A3"/>
    <w:rsid w:val="00834313"/>
    <w:rsid w:val="00847032"/>
    <w:rsid w:val="0085115A"/>
    <w:rsid w:val="00851CF2"/>
    <w:rsid w:val="00861825"/>
    <w:rsid w:val="00874EF2"/>
    <w:rsid w:val="00876348"/>
    <w:rsid w:val="008A3F5B"/>
    <w:rsid w:val="008A77D5"/>
    <w:rsid w:val="008C6305"/>
    <w:rsid w:val="008C7312"/>
    <w:rsid w:val="008D5A9F"/>
    <w:rsid w:val="008E223C"/>
    <w:rsid w:val="00907BC9"/>
    <w:rsid w:val="009138A4"/>
    <w:rsid w:val="00921F9F"/>
    <w:rsid w:val="0093250A"/>
    <w:rsid w:val="009331FA"/>
    <w:rsid w:val="009443FF"/>
    <w:rsid w:val="00956EBB"/>
    <w:rsid w:val="0096242C"/>
    <w:rsid w:val="009642F0"/>
    <w:rsid w:val="00966F49"/>
    <w:rsid w:val="009971AE"/>
    <w:rsid w:val="009C1057"/>
    <w:rsid w:val="009C346F"/>
    <w:rsid w:val="009C683B"/>
    <w:rsid w:val="009D18D6"/>
    <w:rsid w:val="009E05D8"/>
    <w:rsid w:val="00A557A5"/>
    <w:rsid w:val="00A66422"/>
    <w:rsid w:val="00A6766D"/>
    <w:rsid w:val="00A7403C"/>
    <w:rsid w:val="00A74986"/>
    <w:rsid w:val="00AA0045"/>
    <w:rsid w:val="00AB529C"/>
    <w:rsid w:val="00AC2E01"/>
    <w:rsid w:val="00AC7C6E"/>
    <w:rsid w:val="00AF188F"/>
    <w:rsid w:val="00AF421C"/>
    <w:rsid w:val="00AF7238"/>
    <w:rsid w:val="00AF7AF7"/>
    <w:rsid w:val="00B25D8B"/>
    <w:rsid w:val="00B26037"/>
    <w:rsid w:val="00B30107"/>
    <w:rsid w:val="00B32F59"/>
    <w:rsid w:val="00B451FE"/>
    <w:rsid w:val="00B61452"/>
    <w:rsid w:val="00B70275"/>
    <w:rsid w:val="00B76ADF"/>
    <w:rsid w:val="00B93345"/>
    <w:rsid w:val="00BA74BA"/>
    <w:rsid w:val="00BB201C"/>
    <w:rsid w:val="00BB274B"/>
    <w:rsid w:val="00BE668A"/>
    <w:rsid w:val="00C104C8"/>
    <w:rsid w:val="00C37F99"/>
    <w:rsid w:val="00C40527"/>
    <w:rsid w:val="00C84E75"/>
    <w:rsid w:val="00CA3C0D"/>
    <w:rsid w:val="00CA4153"/>
    <w:rsid w:val="00CB4450"/>
    <w:rsid w:val="00CD53B7"/>
    <w:rsid w:val="00CD7539"/>
    <w:rsid w:val="00CF2EFC"/>
    <w:rsid w:val="00CF6871"/>
    <w:rsid w:val="00D3497D"/>
    <w:rsid w:val="00D400B1"/>
    <w:rsid w:val="00D46CC6"/>
    <w:rsid w:val="00D62F13"/>
    <w:rsid w:val="00D70F00"/>
    <w:rsid w:val="00D841BA"/>
    <w:rsid w:val="00DA351E"/>
    <w:rsid w:val="00DA5B10"/>
    <w:rsid w:val="00DE4685"/>
    <w:rsid w:val="00DF6625"/>
    <w:rsid w:val="00E06310"/>
    <w:rsid w:val="00E1106B"/>
    <w:rsid w:val="00E1608A"/>
    <w:rsid w:val="00E34276"/>
    <w:rsid w:val="00E51CD1"/>
    <w:rsid w:val="00E62321"/>
    <w:rsid w:val="00E970C2"/>
    <w:rsid w:val="00EB7585"/>
    <w:rsid w:val="00EC54C7"/>
    <w:rsid w:val="00ED6949"/>
    <w:rsid w:val="00EF2762"/>
    <w:rsid w:val="00EF635B"/>
    <w:rsid w:val="00F040FB"/>
    <w:rsid w:val="00F15B0F"/>
    <w:rsid w:val="00F20460"/>
    <w:rsid w:val="00F264D0"/>
    <w:rsid w:val="00F301FF"/>
    <w:rsid w:val="00F414B5"/>
    <w:rsid w:val="00F61FEC"/>
    <w:rsid w:val="00F65635"/>
    <w:rsid w:val="00F725C0"/>
    <w:rsid w:val="00FA77A2"/>
    <w:rsid w:val="00FC480E"/>
    <w:rsid w:val="00FD06C1"/>
    <w:rsid w:val="00FE0E33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C81D"/>
  <w15:docId w15:val="{301D72C7-41B3-4220-A221-00B3BF28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B7"/>
    <w:rPr>
      <w:sz w:val="24"/>
      <w:szCs w:val="24"/>
    </w:rPr>
  </w:style>
  <w:style w:type="paragraph" w:styleId="Heading1">
    <w:name w:val="heading 1"/>
    <w:basedOn w:val="Normal"/>
    <w:next w:val="Normal"/>
    <w:qFormat/>
    <w:rsid w:val="00A723F9"/>
    <w:pPr>
      <w:keepNext/>
      <w:jc w:val="center"/>
      <w:outlineLvl w:val="0"/>
    </w:pPr>
    <w:rPr>
      <w:b/>
      <w:sz w:val="32"/>
      <w:szCs w:val="20"/>
      <w:lang w:val="ro-RO"/>
    </w:rPr>
  </w:style>
  <w:style w:type="paragraph" w:styleId="Heading2">
    <w:name w:val="heading 2"/>
    <w:basedOn w:val="Normal"/>
    <w:next w:val="Normal"/>
    <w:qFormat/>
    <w:rsid w:val="00722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4F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22A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22A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174D0C"/>
    <w:rPr>
      <w:color w:val="0000FF"/>
      <w:u w:val="single"/>
    </w:rPr>
  </w:style>
  <w:style w:type="character" w:customStyle="1" w:styleId="preambul1">
    <w:name w:val="preambul1"/>
    <w:qFormat/>
    <w:rsid w:val="003B4BC8"/>
    <w:rPr>
      <w:i/>
      <w:iCs/>
      <w:color w:val="000000"/>
    </w:rPr>
  </w:style>
  <w:style w:type="character" w:customStyle="1" w:styleId="articol1">
    <w:name w:val="articol1"/>
    <w:qFormat/>
    <w:rsid w:val="003B4BC8"/>
    <w:rPr>
      <w:b/>
      <w:bCs/>
      <w:color w:val="009500"/>
    </w:rPr>
  </w:style>
  <w:style w:type="character" w:customStyle="1" w:styleId="alineat1">
    <w:name w:val="alineat1"/>
    <w:qFormat/>
    <w:rsid w:val="003B4BC8"/>
    <w:rPr>
      <w:b/>
      <w:bCs/>
      <w:color w:val="000000"/>
    </w:rPr>
  </w:style>
  <w:style w:type="character" w:customStyle="1" w:styleId="paragraf1">
    <w:name w:val="paragraf1"/>
    <w:qFormat/>
    <w:rsid w:val="002743EC"/>
    <w:rPr>
      <w:shd w:val="clear" w:color="auto" w:fill="auto"/>
    </w:rPr>
  </w:style>
  <w:style w:type="character" w:customStyle="1" w:styleId="grame">
    <w:name w:val="grame"/>
    <w:basedOn w:val="DefaultParagraphFont"/>
    <w:qFormat/>
    <w:rsid w:val="00AF6FE8"/>
  </w:style>
  <w:style w:type="character" w:customStyle="1" w:styleId="FootnoteCharacters">
    <w:name w:val="Footnote Characters"/>
    <w:semiHidden/>
    <w:qFormat/>
    <w:rsid w:val="00390D11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PageNumber">
    <w:name w:val="page number"/>
    <w:basedOn w:val="DefaultParagraphFont"/>
    <w:qFormat/>
    <w:rsid w:val="00927775"/>
  </w:style>
  <w:style w:type="character" w:customStyle="1" w:styleId="HeaderChar">
    <w:name w:val="Header Char"/>
    <w:link w:val="Header"/>
    <w:uiPriority w:val="99"/>
    <w:qFormat/>
    <w:rsid w:val="00A71723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qFormat/>
    <w:rsid w:val="00FD257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FD2571"/>
  </w:style>
  <w:style w:type="character" w:customStyle="1" w:styleId="CommentSubjectChar">
    <w:name w:val="Comment Subject Char"/>
    <w:basedOn w:val="CommentTextChar"/>
    <w:link w:val="CommentSubject"/>
    <w:qFormat/>
    <w:rsid w:val="00FD2571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SimSun" w:cs="Times New Roman"/>
      <w:color w:val="auto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SimSu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  <w:b w:val="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  <w:i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723F9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174D0C"/>
    <w:pPr>
      <w:spacing w:after="120"/>
      <w:ind w:left="360"/>
      <w:textAlignment w:val="baseline"/>
    </w:pPr>
    <w:rPr>
      <w:szCs w:val="20"/>
      <w:lang w:val="ro-RO"/>
    </w:rPr>
  </w:style>
  <w:style w:type="paragraph" w:styleId="BodyTextIndent">
    <w:name w:val="Body Text Indent"/>
    <w:basedOn w:val="Normal"/>
    <w:rsid w:val="00174D0C"/>
    <w:pPr>
      <w:spacing w:after="120"/>
      <w:ind w:left="283"/>
    </w:pPr>
  </w:style>
  <w:style w:type="paragraph" w:customStyle="1" w:styleId="CharCharChar1Char">
    <w:name w:val="Char Char Char1 Char"/>
    <w:basedOn w:val="Normal"/>
    <w:qFormat/>
    <w:rsid w:val="007C0390"/>
    <w:rPr>
      <w:rFonts w:ascii="Arial" w:hAnsi="Arial"/>
      <w:lang w:val="pl-PL" w:eastAsia="pl-PL"/>
    </w:rPr>
  </w:style>
  <w:style w:type="paragraph" w:styleId="BalloonText">
    <w:name w:val="Balloon Text"/>
    <w:basedOn w:val="Normal"/>
    <w:semiHidden/>
    <w:qFormat/>
    <w:rsid w:val="00083152"/>
    <w:rPr>
      <w:rFonts w:ascii="Tahoma" w:hAnsi="Tahoma" w:cs="Tahoma"/>
      <w:sz w:val="16"/>
      <w:szCs w:val="16"/>
    </w:rPr>
  </w:style>
  <w:style w:type="paragraph" w:customStyle="1" w:styleId="CaracterCaracter1CharCharCharCharCharCharCharCharCharCharCharCharCharCharCharCharCharCharCharCharCharCharCharCharChar1Char">
    <w:name w:val="Caracter Caracter1 Char Char Char Char Char Char Char Char Char Char Char Char Char Char Char Char Char Char Char Char Char Char Char Char Char1 Char"/>
    <w:basedOn w:val="Normal"/>
    <w:qFormat/>
    <w:rsid w:val="00206298"/>
    <w:rPr>
      <w:lang w:val="pl-PL" w:eastAsia="pl-PL"/>
    </w:rPr>
  </w:style>
  <w:style w:type="paragraph" w:customStyle="1" w:styleId="CharChar1CaracterCaracterCharCharCaracterCaracterCharCharCaracterCaracter">
    <w:name w:val="Char Char1 Caracter Caracter Char Char Caracter Caracter Char Char Caracter Caracter"/>
    <w:basedOn w:val="Normal"/>
    <w:qFormat/>
    <w:rsid w:val="00F3443F"/>
    <w:rPr>
      <w:lang w:val="pl-PL" w:eastAsia="pl-PL"/>
    </w:rPr>
  </w:style>
  <w:style w:type="paragraph" w:customStyle="1" w:styleId="CharCharCharCharCharCharCharCharChar">
    <w:name w:val="Char Char Char Char Char Char Char Char Char"/>
    <w:basedOn w:val="Normal"/>
    <w:qFormat/>
    <w:rsid w:val="00F3443F"/>
    <w:rPr>
      <w:lang w:val="pl-PL" w:eastAsia="pl-PL"/>
    </w:rPr>
  </w:style>
  <w:style w:type="paragraph" w:styleId="BodyTextIndent2">
    <w:name w:val="Body Text Indent 2"/>
    <w:basedOn w:val="Normal"/>
    <w:qFormat/>
    <w:rsid w:val="0094628E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390D1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27775"/>
    <w:pPr>
      <w:tabs>
        <w:tab w:val="center" w:pos="4320"/>
        <w:tab w:val="right" w:pos="8640"/>
      </w:tabs>
    </w:pPr>
  </w:style>
  <w:style w:type="paragraph" w:customStyle="1" w:styleId="TextAdresa">
    <w:name w:val="Text Adresa"/>
    <w:qFormat/>
    <w:rsid w:val="00722A0E"/>
    <w:pPr>
      <w:jc w:val="both"/>
    </w:pPr>
    <w:rPr>
      <w:rFonts w:ascii="Arial" w:hAnsi="Arial"/>
      <w:sz w:val="22"/>
      <w:lang w:val="ro-RO"/>
    </w:rPr>
  </w:style>
  <w:style w:type="paragraph" w:styleId="BodyText3">
    <w:name w:val="Body Text 3"/>
    <w:basedOn w:val="Normal"/>
    <w:qFormat/>
    <w:rsid w:val="00684FB8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B45900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qFormat/>
    <w:rsid w:val="00A0682C"/>
    <w:rPr>
      <w:rFonts w:ascii="Arial" w:hAnsi="Arial"/>
      <w:lang w:val="pl-PL" w:eastAsia="pl-PL"/>
    </w:rPr>
  </w:style>
  <w:style w:type="paragraph" w:styleId="BodyTextIndent3">
    <w:name w:val="Body Text Indent 3"/>
    <w:basedOn w:val="Normal"/>
    <w:qFormat/>
    <w:rsid w:val="005F5AEA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FD2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FD2571"/>
    <w:rPr>
      <w:b/>
      <w:bCs/>
    </w:rPr>
  </w:style>
  <w:style w:type="table" w:styleId="TableGrid">
    <w:name w:val="Table Grid"/>
    <w:basedOn w:val="TableNormal"/>
    <w:rsid w:val="0017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tlu1">
    <w:name w:val="l5tlu1"/>
    <w:basedOn w:val="DefaultParagraphFont"/>
    <w:qFormat/>
    <w:rsid w:val="00271693"/>
    <w:rPr>
      <w:b/>
      <w:bCs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403F6"/>
    <w:pPr>
      <w:ind w:left="720"/>
      <w:contextualSpacing/>
    </w:pPr>
    <w:rPr>
      <w:lang w:val="ro-R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03F6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72EB5"/>
    <w:rPr>
      <w:sz w:val="24"/>
      <w:szCs w:val="24"/>
    </w:rPr>
  </w:style>
  <w:style w:type="character" w:customStyle="1" w:styleId="l5def2">
    <w:name w:val="l5def2"/>
    <w:basedOn w:val="DefaultParagraphFont"/>
    <w:rsid w:val="000B47B3"/>
    <w:rPr>
      <w:rFonts w:ascii="Arial" w:hAnsi="Arial" w:cs="Arial" w:hint="default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352488"/>
    <w:rPr>
      <w:sz w:val="24"/>
      <w:szCs w:val="24"/>
    </w:rPr>
  </w:style>
  <w:style w:type="character" w:styleId="Hyperlink">
    <w:name w:val="Hyperlink"/>
    <w:basedOn w:val="DefaultParagraphFont"/>
    <w:unhideWhenUsed/>
    <w:rsid w:val="008C63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C463-4E3C-4FCD-A625-D89236E0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FUNDAMENTARE</vt:lpstr>
    </vt:vector>
  </TitlesOfParts>
  <Company>mtct</Company>
  <LinksUpToDate>false</LinksUpToDate>
  <CharactersWithSpaces>18787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FUNDAMENTARE</dc:title>
  <dc:creator>bianca</dc:creator>
  <cp:lastModifiedBy>Marius Alban</cp:lastModifiedBy>
  <cp:revision>7</cp:revision>
  <cp:lastPrinted>2023-08-18T06:40:00Z</cp:lastPrinted>
  <dcterms:created xsi:type="dcterms:W3CDTF">2023-08-18T05:47:00Z</dcterms:created>
  <dcterms:modified xsi:type="dcterms:W3CDTF">2023-08-18T06:56:00Z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mtct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